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MODULE 1: CONSERVATIVE &amp; RESTORATIVE DENTISTRY</w:t>
      </w:r>
    </w:p>
    <w:p>
      <w:pPr>
        <w:jc w:val="center"/>
      </w:pPr>
      <w:r>
        <w:rPr>
          <w:b/>
          <w:sz w:val="40"/>
        </w:rPr>
        <w:t>SUB-MODULE 4.1: COMPOSITE RESTORATION PLACEMENT TECHNIQUES</w:t>
      </w:r>
    </w:p>
    <w:p/>
    <w:p>
      <w:pPr>
        <w:jc w:val="center"/>
      </w:pPr>
      <w:r>
        <w:rPr>
          <w:i/>
          <w:sz w:val="26"/>
        </w:rPr>
        <w:t>Compiled Study Notes — Organized by Topic</w:t>
      </w:r>
    </w:p>
    <w:p>
      <w:pPr>
        <w:jc w:val="center"/>
      </w:pPr>
      <w:r>
        <w:rPr>
          <w:i/>
          <w:sz w:val="24"/>
        </w:rPr>
        <w:t>Shrinkage management, incremental vs. bulk-fill technique, shade selection, and finishing, each fact page-cited</w:t>
      </w:r>
    </w:p>
    <w:p/>
    <w:p>
      <w:pPr>
        <w:jc w:val="center"/>
      </w:pPr>
      <w:r>
        <w:rPr>
          <w:sz w:val="22"/>
        </w:rPr>
        <w:t>Citation style: Vancouver (numbered, in-text, with page references)</w:t>
      </w:r>
    </w:p>
    <w:p>
      <w:r>
        <w:br w:type="page"/>
      </w:r>
    </w:p>
    <w:p>
      <w:pPr>
        <w:pStyle w:val="Heading1"/>
      </w:pPr>
      <w:r>
        <w:t>A Note on Sources and Referencing</w:t>
      </w:r>
    </w:p>
    <w:p>
      <w:pPr>
        <w:spacing w:after="120"/>
        <w:jc w:val="both"/>
      </w:pPr>
      <w:r>
        <w:rPr>
          <w:b w:val="0"/>
          <w:i w:val="0"/>
        </w:rPr>
        <w:t xml:space="preserve">This document opens Sub-Module 4 (Direct Restorations — Composite), covering the general placement TECHNIQUE that applies across restoration classes: shrinkage management, incremental vs. bulk-fill technique, shade selection, and finishing/polishing. </w:t>
      </w:r>
      <w:r>
        <w:rPr>
          <w:b/>
          <w:i w:val="0"/>
        </w:rPr>
        <w:t>Scope boundary:</w:t>
      </w:r>
      <w:r>
        <w:rPr>
          <w:b w:val="0"/>
          <w:i w:val="0"/>
        </w:rPr>
        <w:t xml:space="preserve"> cavity design/outline form was already covered in Sub-Module 2.3, and material composition/chemistry in Sub-Modules 3.1/3.2 — this document cross-references both rather than repeating them. Class-specific application (Class I-V composite protocols) is deliberately deferred to the companion Sub-Module 4.2, per the agreed split.</w:t>
      </w:r>
    </w:p>
    <w:p>
      <w:pPr>
        <w:spacing w:after="120"/>
      </w:pPr>
      <w:r>
        <w:rPr>
          <w:b/>
          <w:i w:val="0"/>
        </w:rPr>
        <w:t>Sources used in this document:</w:t>
      </w:r>
    </w:p>
    <w:p>
      <w:pPr>
        <w:pStyle w:val="ListBullet"/>
        <w:spacing w:after="60"/>
      </w:pPr>
      <w:r>
        <w:rPr>
          <w:b w:val="0"/>
          <w:i w:val="0"/>
        </w:rPr>
        <w:t xml:space="preserve">Torres CRG, editor. Modern Operative Dentistry: Principles for Clinical Practice. Cham: Springer Nature Switzerland; 2020. Chapter 13, “Light-Curing Units,” p.435-442; Chapter 14, “Composite Restoration on Anterior Teeth,” p.471-479; Chapter 15, “Composite Restoration on Posterior Teeth,” p.617-619, 626-628. </w:t>
      </w:r>
      <w:r>
        <w:rPr>
          <w:b w:val="0"/>
          <w:i/>
        </w:rPr>
        <w:t>(standardised textbook — core explanation for all five topics in this document; a single source with dedicated, detailed chapters on each)</w:t>
      </w:r>
    </w:p>
    <w:p>
      <w:r>
        <w:rPr>
          <w:b/>
        </w:rPr>
        <w:t xml:space="preserve">Revision note: </w:t>
      </w:r>
      <w:r>
        <w:t>this document originally used only Modern Operative Dentistry, despite Sturdevant's and Summitt's being standing core Module 1 texts with directly relevant chapters. Summitt's Ch.11 (“Direct Posterior Resin Composite Restorations,” source [2]) added genuinely new content in Section 2.2: the 1mm gingival-increment rule, the 27%-satisfactory Class II margin statistic, light-reflecting-wedge transmission variability and its enamel-vs-dentin-dependent effectiveness, curing-light distance falloff (50% lost at 3-6mm), and viscosity/placement-technique effects on voids and bond strength.</w:t>
      </w:r>
    </w:p>
    <w:p>
      <w:pPr>
        <w:pStyle w:val="ListBullet"/>
      </w:pPr>
      <w:r>
        <w:t>Hilton TJ, Ferracane JL, Broome JC, editors. Summitt's Fundamentals of Operative Dentistry: A Contemporary Approach. 4th ed. Chicago: Quintessence Publishing. (standardised textbook — Chapter 11, new content on gingival-increment technique, matrix/wedge effectiveness, and void-minimizing placement)</w:t>
      </w:r>
    </w:p>
    <w:p>
      <w:pPr>
        <w:spacing w:after="120"/>
      </w:pPr>
      <w:r>
        <w:rPr>
          <w:b/>
          <w:i w:val="0"/>
        </w:rPr>
        <w:t>Cross-referenced, not repeated:</w:t>
      </w:r>
    </w:p>
    <w:p>
      <w:pPr>
        <w:pStyle w:val="ListBullet"/>
        <w:spacing w:after="60"/>
      </w:pPr>
      <w:r>
        <w:rPr>
          <w:b w:val="0"/>
          <w:i w:val="0"/>
        </w:rPr>
        <w:t>Sub-Module 2.3 (Cavity Classification &amp; Design) — outline form, retention, Class I-VI geometry</w:t>
      </w:r>
    </w:p>
    <w:p>
      <w:pPr>
        <w:pStyle w:val="ListBullet"/>
        <w:spacing w:after="60"/>
      </w:pPr>
      <w:r>
        <w:rPr>
          <w:b w:val="0"/>
          <w:i w:val="0"/>
        </w:rPr>
        <w:t>Sub-Module 3.1 (Restorative Material Categories) — composite composition, filler classification, polymerization shrinkage chemistry basics</w:t>
      </w:r>
    </w:p>
    <w:p>
      <w:pPr>
        <w:pStyle w:val="ListBullet"/>
        <w:spacing w:after="60"/>
      </w:pPr>
      <w:r>
        <w:rPr>
          <w:b w:val="0"/>
          <w:i w:val="0"/>
        </w:rPr>
        <w:t>Sub-Module 3.2 (Adhesive Systems &amp; Bonding) — etching, hybrid layer, bond durability</w:t>
      </w:r>
    </w:p>
    <w:p>
      <w:r>
        <w:br w:type="page"/>
      </w:r>
    </w:p>
    <w:p>
      <w:pPr>
        <w:pStyle w:val="Heading1"/>
      </w:pPr>
      <w:r>
        <w:t>Sub-Module 4.1: Composite Restoration Placement Techniques</w:t>
      </w:r>
    </w:p>
    <w:p>
      <w:pPr>
        <w:pStyle w:val="Heading2"/>
      </w:pPr>
      <w:r>
        <w:t>1. Polymerization Shrinkage Management</w:t>
      </w:r>
    </w:p>
    <w:p>
      <w:pPr>
        <w:spacing w:after="120"/>
      </w:pPr>
      <w:r>
        <w:rPr>
          <w:b w:val="0"/>
          <w:i w:val="0"/>
        </w:rPr>
        <w:t xml:space="preserve">Sub-Module 3.1, Section 2.3 already covered the basic chemistry of polymerization shrinkage (up to 13 MPa contraction stress, dependence on both shrinkage % and stiffness). This section covers the </w:t>
      </w:r>
      <w:r>
        <w:rPr>
          <w:b/>
          <w:i w:val="0"/>
        </w:rPr>
        <w:t>clinical management</w:t>
      </w:r>
      <w:r>
        <w:rPr>
          <w:b w:val="0"/>
          <w:i w:val="0"/>
        </w:rPr>
        <w:t xml:space="preserve"> of that shrinkage — the variables a clinician actually controls at the chairside.</w:t>
      </w:r>
    </w:p>
    <w:p>
      <w:pPr>
        <w:pStyle w:val="Heading3"/>
      </w:pPr>
      <w:r>
        <w:t>1.1 The Physics: Pre-Gel, Gel Point, Post-Gel</w:t>
      </w:r>
    </w:p>
    <w:p>
      <w:pPr>
        <w:spacing w:after="120"/>
      </w:pPr>
      <w:r>
        <w:rPr>
          <w:b w:val="0"/>
          <w:i w:val="0"/>
        </w:rPr>
        <w:t>During cure, composite passes through three phases</w:t>
      </w:r>
      <w:r>
        <w:rPr>
          <w:b w:val="0"/>
          <w:i w:val="0"/>
        </w:rPr>
        <w:t xml:space="preserve"> [1, p.438]</w:t>
      </w:r>
      <w:r>
        <w:rPr>
          <w:b w:val="0"/>
          <w:i w:val="0"/>
        </w:rPr>
        <w:t xml:space="preserve">: in the </w:t>
      </w:r>
      <w:r>
        <w:rPr>
          <w:b/>
          <w:i w:val="0"/>
        </w:rPr>
        <w:t>pre-gel phase</w:t>
      </w:r>
      <w:r>
        <w:rPr>
          <w:b w:val="0"/>
          <w:i w:val="0"/>
        </w:rPr>
        <w:t xml:space="preserve">, only some monomers are bonded and the material can still flow/rearrange, so shrinkage creates little interfacial stress. At </w:t>
      </w:r>
      <w:r>
        <w:rPr>
          <w:b/>
          <w:i w:val="0"/>
        </w:rPr>
        <w:t>gel point</w:t>
      </w:r>
      <w:r>
        <w:rPr>
          <w:b w:val="0"/>
          <w:i w:val="0"/>
        </w:rPr>
        <w:t xml:space="preserve"> (10-20% conversion), polymer chains become long enough to cross-link and the material stops flowing, behaving as a solid. In the </w:t>
      </w:r>
      <w:r>
        <w:rPr>
          <w:b/>
          <w:i w:val="0"/>
        </w:rPr>
        <w:t>post-gel phase</w:t>
      </w:r>
      <w:r>
        <w:rPr>
          <w:b w:val="0"/>
          <w:i w:val="0"/>
        </w:rPr>
        <w:t>, further shrinkage can no longer be internally accommodated by chain movement, so stress transmits directly to the tooth-restoration interface and tooth structure — this is what causes bond rupture, cuspal deflection, or enamel microcracks. Final volumetric contraction averages 2-3% (up to 7% in some materials), and shrinkage/stress continue developing for the first 24 hours after light exposure (“post-polymerization” or “dark polymerization”), which is why forces can still develop hours after the restoration feels set</w:t>
      </w:r>
      <w:r>
        <w:rPr>
          <w:b w:val="0"/>
          <w:i w:val="0"/>
        </w:rPr>
        <w:t xml:space="preserve"> [1, p.438]</w:t>
      </w:r>
      <w:r>
        <w:rPr>
          <w:b w:val="0"/>
          <w:i w:val="0"/>
        </w:rPr>
        <w:t>.</w:t>
      </w:r>
    </w:p>
    <w:p>
      <w:pPr>
        <w:pStyle w:val="Heading3"/>
      </w:pPr>
      <w:r>
        <w:t>1.2 What Actually Controls Shrinkage Stress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Factor</w:t>
            </w:r>
          </w:p>
        </w:tc>
        <w:tc>
          <w:tcPr>
            <w:tcW w:type="dxa" w:w="4320"/>
          </w:tcPr>
          <w:p>
            <w:r>
              <w:rPr>
                <w:b/>
                <w:sz w:val="18"/>
              </w:rPr>
              <w:t>Effect</w:t>
            </w:r>
          </w:p>
        </w:tc>
      </w:tr>
      <w:tr>
        <w:tc>
          <w:tcPr>
            <w:tcW w:type="dxa" w:w="4320"/>
          </w:tcPr>
          <w:p>
            <w:r>
              <w:rPr>
                <w:sz w:val="18"/>
              </w:rPr>
              <w:t>Organic matrix content</w:t>
            </w:r>
          </w:p>
        </w:tc>
        <w:tc>
          <w:tcPr>
            <w:tcW w:type="dxa" w:w="4320"/>
          </w:tcPr>
          <w:p>
            <w:r>
              <w:rPr>
                <w:sz w:val="18"/>
              </w:rPr>
              <w:t>Larger organic matrix % → greater polymerization shrinkage (the matrix, not the filler, is what shrinks)</w:t>
            </w:r>
          </w:p>
        </w:tc>
      </w:tr>
      <w:tr>
        <w:tc>
          <w:tcPr>
            <w:tcW w:type="dxa" w:w="4320"/>
          </w:tcPr>
          <w:p>
            <w:r>
              <w:rPr>
                <w:sz w:val="18"/>
              </w:rPr>
              <w:t>Filler content / elastic modulus</w:t>
            </w:r>
          </w:p>
        </w:tc>
        <w:tc>
          <w:tcPr>
            <w:tcW w:type="dxa" w:w="4320"/>
          </w:tcPr>
          <w:p>
            <w:r>
              <w:rPr>
                <w:sz w:val="18"/>
              </w:rPr>
              <w:t>Higher filler content → LOWER volumetric shrinkage, but HIGHER elastic modulus (stiffer material) → by Hooke's law, a stiffer material converts a given shrinkage strain into MORE stress. Shrinkage stress correlates more with material stiffness than with raw shrinkage percentage</w:t>
            </w:r>
          </w:p>
        </w:tc>
      </w:tr>
      <w:tr>
        <w:tc>
          <w:tcPr>
            <w:tcW w:type="dxa" w:w="4320"/>
          </w:tcPr>
          <w:p>
            <w:r>
              <w:rPr>
                <w:sz w:val="18"/>
              </w:rPr>
              <w:t>Cavity configuration (C-factor)</w:t>
            </w:r>
          </w:p>
        </w:tc>
        <w:tc>
          <w:tcPr>
            <w:tcW w:type="dxa" w:w="4320"/>
          </w:tcPr>
          <w:p>
            <w:r>
              <w:rPr>
                <w:sz w:val="18"/>
              </w:rPr>
              <w:t>See Section 1.3 below — the single most clinically-controllable variable</w:t>
            </w:r>
          </w:p>
        </w:tc>
      </w:tr>
      <w:tr>
        <w:tc>
          <w:tcPr>
            <w:tcW w:type="dxa" w:w="4320"/>
          </w:tcPr>
          <w:p>
            <w:r>
              <w:rPr>
                <w:sz w:val="18"/>
              </w:rPr>
              <w:t>Curing speed</w:t>
            </w:r>
          </w:p>
        </w:tc>
        <w:tc>
          <w:tcPr>
            <w:tcW w:type="dxa" w:w="4320"/>
          </w:tcPr>
          <w:p>
            <w:r>
              <w:rPr>
                <w:sz w:val="18"/>
              </w:rPr>
              <w:t>Faster cure (light-activated) → shorter pre-gel phase → less time for stress-relieving flow → HIGHER shrinkage stress than slower chemically-activated composites (which have &gt;3 min pre-gel flow time)</w:t>
            </w:r>
          </w:p>
        </w:tc>
      </w:tr>
      <w:tr>
        <w:tc>
          <w:tcPr>
            <w:tcW w:type="dxa" w:w="4320"/>
          </w:tcPr>
          <w:p>
            <w:r>
              <w:rPr>
                <w:sz w:val="18"/>
              </w:rPr>
              <w:t>Substrate elastic modulus</w:t>
            </w:r>
          </w:p>
        </w:tc>
        <w:tc>
          <w:tcPr>
            <w:tcW w:type="dxa" w:w="4320"/>
          </w:tcPr>
          <w:p>
            <w:r>
              <w:rPr>
                <w:sz w:val="18"/>
              </w:rPr>
              <w:t>More elastic substrates (dentin) tolerate volumetric change better than rigid ones (enamel); adhesion to dentin is also inherently weaker than to enamel, making debonding/gap formation more likely there than substrate deformation</w:t>
            </w:r>
          </w:p>
        </w:tc>
      </w:tr>
      <w:tr>
        <w:tc>
          <w:tcPr>
            <w:tcW w:type="dxa" w:w="4320"/>
          </w:tcPr>
          <w:p>
            <w:r>
              <w:rPr>
                <w:sz w:val="18"/>
              </w:rPr>
              <w:t>Layering technique</w:t>
            </w:r>
          </w:p>
        </w:tc>
        <w:tc>
          <w:tcPr>
            <w:tcW w:type="dxa" w:w="4320"/>
          </w:tcPr>
          <w:p>
            <w:r>
              <w:rPr>
                <w:sz w:val="18"/>
              </w:rPr>
              <w:t>See Section 2 below</w:t>
            </w:r>
          </w:p>
        </w:tc>
      </w:tr>
    </w:tbl>
    <w:p>
      <w:r>
        <w:rPr>
          <w:i/>
          <w:sz w:val="18"/>
        </w:rPr>
        <w:t>Source: [1, p.438-441]. A specific myth worth flagging: it was historically believed (1980s) that light-cured composite shrinks TOWARD the light source, motivating techniques using reflective wedges to redirect shrinkage. Finite-element analysis (Versluis et al.) later demonstrated composites actually shrink toward the BONDED WALLS, not toward the light — the shrinkage vector is determined by cavity configuration, not light direction. The earlier reflective-wedge technique's apparent clinical success is now attributed to those wedges simply reducing transmitted light and delaying gel point, not to directing shrinkage [1, p.440].</w:t>
      </w:r>
    </w:p>
    <w:p/>
    <w:p>
      <w:pPr>
        <w:pStyle w:val="Heading3"/>
      </w:pPr>
      <w:r>
        <w:t>1.3 The C-Factor — The Key Clinically-Controllable Variable</w:t>
      </w:r>
    </w:p>
    <w:p>
      <w:pPr>
        <w:spacing w:before="80" w:after="80"/>
      </w:pPr>
      <w:r>
        <w:rPr>
          <w:b/>
        </w:rPr>
        <w:t xml:space="preserve">DEFINITION — Cavity configuration factor (C-factor): </w:t>
      </w:r>
      <w:r>
        <w:rPr>
          <w:b w:val="0"/>
          <w:i w:val="0"/>
        </w:rPr>
        <w:t>the ratio of bonded surface area (B) to unbonded/free surface area (U) in a preparation: C-factor = B/U. Proposed by Feilzer et al. (1987). A higher C-factor means more walls are simultaneously bonded during a single cure, leaving fewer free surfaces through which shrinkage can be relieved by material flow — directly increasing the risk of adhesive interface rupture or cuspal deflection.</w:t>
      </w:r>
      <w:r>
        <w:t xml:space="preserve"> [1, p.439]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Preparation type</w:t>
            </w:r>
          </w:p>
        </w:tc>
        <w:tc>
          <w:tcPr>
            <w:tcW w:type="dxa" w:w="2880"/>
          </w:tcPr>
          <w:p>
            <w:r>
              <w:rPr>
                <w:b/>
                <w:sz w:val="18"/>
              </w:rPr>
              <w:t>Bonded : Unbonded walls</w:t>
            </w:r>
          </w:p>
        </w:tc>
        <w:tc>
          <w:tcPr>
            <w:tcW w:type="dxa" w:w="2880"/>
          </w:tcPr>
          <w:p>
            <w:r>
              <w:rPr>
                <w:b/>
                <w:sz w:val="18"/>
              </w:rPr>
              <w:t>C-factor</w:t>
            </w:r>
          </w:p>
        </w:tc>
      </w:tr>
      <w:tr>
        <w:tc>
          <w:tcPr>
            <w:tcW w:type="dxa" w:w="2880"/>
          </w:tcPr>
          <w:p>
            <w:r>
              <w:rPr>
                <w:sz w:val="18"/>
              </w:rPr>
              <w:t>Class I box-shaped (4 surrounding + 1 pulpal wall, bulk-filled)</w:t>
            </w:r>
          </w:p>
        </w:tc>
        <w:tc>
          <w:tcPr>
            <w:tcW w:type="dxa" w:w="2880"/>
          </w:tcPr>
          <w:p>
            <w:r>
              <w:rPr>
                <w:sz w:val="18"/>
              </w:rPr>
              <w:t>5 bonded : 1 free (occlusal)</w:t>
            </w:r>
          </w:p>
        </w:tc>
        <w:tc>
          <w:tcPr>
            <w:tcW w:type="dxa" w:w="2880"/>
          </w:tcPr>
          <w:p>
            <w:r>
              <w:rPr>
                <w:sz w:val="18"/>
              </w:rPr>
              <w:t>5.0 — highest common clinical value</w:t>
            </w:r>
          </w:p>
        </w:tc>
      </w:tr>
      <w:tr>
        <w:tc>
          <w:tcPr>
            <w:tcW w:type="dxa" w:w="2880"/>
          </w:tcPr>
          <w:p>
            <w:r>
              <w:rPr>
                <w:sz w:val="18"/>
              </w:rPr>
              <w:t>Class II simple proximal box (vertical slot)</w:t>
            </w:r>
          </w:p>
        </w:tc>
        <w:tc>
          <w:tcPr>
            <w:tcW w:type="dxa" w:w="2880"/>
          </w:tcPr>
          <w:p>
            <w:r>
              <w:rPr>
                <w:sz w:val="18"/>
              </w:rPr>
              <w:t>4 bonded (buccal, lingual, axial, gingival) : 2 free (occlusal, proximal)</w:t>
            </w:r>
          </w:p>
        </w:tc>
        <w:tc>
          <w:tcPr>
            <w:tcW w:type="dxa" w:w="2880"/>
          </w:tcPr>
          <w:p>
            <w:r>
              <w:rPr>
                <w:sz w:val="18"/>
              </w:rPr>
              <w:t>2.0</w:t>
            </w:r>
          </w:p>
        </w:tc>
      </w:tr>
      <w:tr>
        <w:tc>
          <w:tcPr>
            <w:tcW w:type="dxa" w:w="2880"/>
          </w:tcPr>
          <w:p>
            <w:r>
              <w:rPr>
                <w:sz w:val="18"/>
              </w:rPr>
              <w:t>Fractured anterior tooth restoration</w:t>
            </w:r>
          </w:p>
        </w:tc>
        <w:tc>
          <w:tcPr>
            <w:tcW w:type="dxa" w:w="2880"/>
          </w:tcPr>
          <w:p>
            <w:r>
              <w:rPr>
                <w:sz w:val="18"/>
              </w:rPr>
              <w:t>1 bonded : 5 free</w:t>
            </w:r>
          </w:p>
        </w:tc>
        <w:tc>
          <w:tcPr>
            <w:tcW w:type="dxa" w:w="2880"/>
          </w:tcPr>
          <w:p>
            <w:r>
              <w:rPr>
                <w:sz w:val="18"/>
              </w:rPr>
              <w:t>0.2 — lowest risk of shrinkage-related adverse effects</w:t>
            </w:r>
          </w:p>
        </w:tc>
      </w:tr>
    </w:tbl>
    <w:p>
      <w:r>
        <w:rPr>
          <w:i/>
          <w:sz w:val="18"/>
        </w:rPr>
        <w:t>Source: [1, p.439], Fig. 13.5. Practical target: keep C-factor as low as possible, ideally close to 0.5, by using oblique increments connecting a maximum of two walls at a time — maximizing free surface for stress relief. Note that for two Class I preparations of identical width but different depth, the DEEPER one has the HIGHER C-factor even though the wall count is the same, since C-factor also scales with the bonded-to-unbonded surface AREA ratio, not just wall count [1, p.439].</w:t>
      </w:r>
    </w:p>
    <w:p/>
    <w:p>
      <w:pPr>
        <w:pStyle w:val="Heading3"/>
      </w:pPr>
      <w:r>
        <w:t>1.4 Oxygen-Inhibited Layer</w:t>
      </w:r>
    </w:p>
    <w:p>
      <w:pPr>
        <w:spacing w:before="80" w:after="80"/>
      </w:pPr>
      <w:r>
        <w:rPr>
          <w:b/>
        </w:rPr>
        <w:t xml:space="preserve">DEFINITION — Oxygen-inhibited layer (OIL): </w:t>
      </w:r>
      <w:r>
        <w:rPr>
          <w:b w:val="0"/>
          <w:i w:val="0"/>
        </w:rPr>
        <w:t>a soft, sticky, gel-like superficial layer of unreacted monomers/oligomers that always forms when composite or adhesive cures in contact with air. Oxygen reacts with carbon-based free radicals to form peroxy radicals, which preferentially react with oxygen (retarding polymerization) and quench excited photoinitiator states (e.g., camphorquinone), limiting the initiation stage. OIL thickness typically ranges 4-40µm, depending on monomer chemistry, filler morphology, and radical concentration.</w:t>
      </w:r>
      <w:r>
        <w:t xml:space="preserve"> [1, p.441]</w:t>
      </w:r>
    </w:p>
    <w:p>
      <w:pPr>
        <w:spacing w:after="120"/>
      </w:pPr>
      <w:r>
        <w:rPr>
          <w:b w:val="0"/>
          <w:i w:val="0"/>
        </w:rPr>
        <w:t>This has a direct, practical implication for incremental technique: each successive increment's OIL provides a fresh, uncured resin-rich surface for the next increment to chemically co-polymerize into — meaning the OIL is not simply a defect to eliminate, it is functionally useful between increments (though it should be avoided on the FINAL, exposed surface of a restoration, which is why finishing/polishing removes it there).</w:t>
      </w:r>
    </w:p>
    <w:p>
      <w:r>
        <w:br w:type="page"/>
      </w:r>
    </w:p>
    <w:p>
      <w:pPr>
        <w:pStyle w:val="Heading2"/>
      </w:pPr>
      <w:r>
        <w:t>2. Incremental Filling Technique</w:t>
      </w:r>
    </w:p>
    <w:p>
      <w:pPr>
        <w:spacing w:after="120"/>
      </w:pPr>
      <w:r>
        <w:rPr>
          <w:b w:val="0"/>
          <w:i w:val="0"/>
        </w:rPr>
        <w:t>Layering technique is described as closely tied to C-factor management</w:t>
      </w:r>
      <w:r>
        <w:rPr>
          <w:b w:val="0"/>
          <w:i w:val="0"/>
        </w:rPr>
        <w:t xml:space="preserve"> [1, p.441]</w:t>
      </w:r>
      <w:r>
        <w:rPr>
          <w:b w:val="0"/>
          <w:i w:val="0"/>
        </w:rPr>
        <w:t xml:space="preserve">: </w:t>
      </w:r>
      <w:r>
        <w:rPr>
          <w:b/>
          <w:i w:val="0"/>
        </w:rPr>
        <w:t>horizontal</w:t>
      </w:r>
      <w:r>
        <w:rPr>
          <w:b w:val="0"/>
          <w:i w:val="0"/>
        </w:rPr>
        <w:t xml:space="preserve"> layers create significantly HIGHER stress than </w:t>
      </w:r>
      <w:r>
        <w:rPr>
          <w:b/>
          <w:i w:val="0"/>
        </w:rPr>
        <w:t>oblique</w:t>
      </w:r>
      <w:r>
        <w:rPr>
          <w:b w:val="0"/>
          <w:i w:val="0"/>
        </w:rPr>
        <w:t xml:space="preserve"> layers, because horizontal layering bonds a larger wall area simultaneously (a less favourable bonded:unbonded ratio) than oblique layering, which typically connects a maximum of two walls per increment. Each layer's thickness should not exceed </w:t>
      </w:r>
      <w:r>
        <w:rPr>
          <w:b/>
          <w:i w:val="0"/>
        </w:rPr>
        <w:t>2mm</w:t>
      </w:r>
      <w:r>
        <w:rPr>
          <w:b w:val="0"/>
          <w:i w:val="0"/>
        </w:rPr>
        <w:t>, both to reduce total stress per increment AND to ensure adequate curing at the bottom of that layer (tied directly to standard composites' limited depth of cure — see Section 3 below for how bulk-fill materials change this figure)</w:t>
      </w:r>
      <w:r>
        <w:rPr>
          <w:b w:val="0"/>
          <w:i w:val="0"/>
        </w:rPr>
        <w:t xml:space="preserve"> [1, p.441]</w:t>
      </w:r>
      <w:r>
        <w:rPr>
          <w:b w:val="0"/>
          <w:i w:val="0"/>
        </w:rPr>
        <w:t>. In-vitro SEM studies and in-vivo sensitivity testing have both confirmed that bulk placement (single large increment) performs measurably worse than proper incremental technique</w:t>
      </w:r>
      <w:r>
        <w:rPr>
          <w:b w:val="0"/>
          <w:i w:val="0"/>
        </w:rPr>
        <w:t xml:space="preserve"> [1, p.441]</w:t>
      </w:r>
      <w:r>
        <w:rPr>
          <w:b w:val="0"/>
          <w:i w:val="0"/>
        </w:rPr>
        <w:t>.</w:t>
      </w:r>
    </w:p>
    <w:p>
      <w:pPr>
        <w:pStyle w:val="Heading3"/>
      </w:pPr>
      <w:r>
        <w:t>2.1 Controlling the Curing Reaction Itself</w:t>
      </w:r>
    </w:p>
    <w:p>
      <w:pPr>
        <w:spacing w:after="120"/>
      </w:pPr>
      <w:r>
        <w:rPr>
          <w:b w:val="0"/>
          <w:i w:val="0"/>
        </w:rPr>
        <w:t xml:space="preserve">Beyond increment geometry, the curing reaction's SPEED can itself be modulated to relieve stress: </w:t>
      </w:r>
      <w:r>
        <w:rPr>
          <w:b/>
          <w:i w:val="0"/>
        </w:rPr>
        <w:t>gradual curing (“soft-start”) protocols</w:t>
      </w:r>
      <w:r>
        <w:rPr>
          <w:b w:val="0"/>
          <w:i w:val="0"/>
        </w:rPr>
        <w:t xml:space="preserve"> deliberately begin with reduced light irradiation intensity, prolonging the pre-gel phase (the flow-capable, low-stress phase described in Section 1.1) before ramping to full intensity — a direct technique-level analogue to how chemically-activated composites' inherently slower cure gives them a longer, more stress-tolerant pre-gel phase</w:t>
      </w:r>
      <w:r>
        <w:rPr>
          <w:b w:val="0"/>
          <w:i w:val="0"/>
        </w:rPr>
        <w:t xml:space="preserve"> [1, p.440]</w:t>
      </w:r>
      <w:r>
        <w:rPr>
          <w:b w:val="0"/>
          <w:i w:val="0"/>
        </w:rPr>
        <w:t xml:space="preserve">. A separate, easily-overlooked practical point: composites stored refrigerated (common in hot climates, to extend shelf life) </w:t>
      </w:r>
      <w:r>
        <w:rPr>
          <w:b/>
          <w:i w:val="0"/>
        </w:rPr>
        <w:t>must be allowed to reach room temperature before use</w:t>
      </w:r>
      <w:r>
        <w:rPr>
          <w:b w:val="0"/>
          <w:i w:val="0"/>
        </w:rPr>
        <w:t>, since low temperature itself adversely affects the curing reaction</w:t>
      </w:r>
      <w:r>
        <w:rPr>
          <w:b w:val="0"/>
          <w:i w:val="0"/>
        </w:rPr>
        <w:t xml:space="preserve"> [1, p.440]</w:t>
      </w:r>
      <w:r>
        <w:rPr>
          <w:b w:val="0"/>
          <w:i w:val="0"/>
        </w:rPr>
        <w:t>.</w:t>
      </w:r>
    </w:p>
    <w:p>
      <w:r>
        <w:br w:type="page"/>
      </w:r>
    </w:p>
    <w:p>
      <w:pPr>
        <w:pStyle w:val="Heading3"/>
      </w:pPr>
      <w:r>
        <w:t>2.2 Gingival Increment, Matrix, and Void-Minimizing Technique (Summitt's)</w:t>
      </w:r>
    </w:p>
    <w:p>
      <w:r>
        <w:t>Incremental technique's benefits, per Summitt's, are broader than shrinkage-stress reduction alone: enhanced marginal adaptation, decreased gap formation, decreased marginal leakage, decreased cuspal deformation, increased cusp fracture resistance, improved bond strength to cavity walls, AND decreased postoperative sensitivity — a single techni que change addressing seven distinct failure modes simultaneously.</w:t>
      </w:r>
      <w:r>
        <w:t xml:space="preserve"> [2, p.605]</w:t>
      </w:r>
    </w:p>
    <w:p>
      <w:r>
        <w:rPr>
          <w:b/>
        </w:rPr>
        <w:t xml:space="preserve">A sobering real-world statistic on why this matters: </w:t>
      </w:r>
      <w:r>
        <w:t>a clinical study assessing gingival margin quality in Class II resin composite restorations found only 27% were rated satisfactory</w:t>
      </w:r>
      <w:r>
        <w:t xml:space="preserve"> [2, p.605]</w:t>
      </w:r>
      <w:r>
        <w:t xml:space="preserve"> — i.e. the gingival margin is where composite technique most often actually fails in practice, which is why the specific gingival-increment protocol below is given such emphasis.</w:t>
      </w:r>
    </w:p>
    <w:p>
      <w:r>
        <w:rPr>
          <w:b/>
        </w:rPr>
        <w:t>The first (gingival) increment should be placed no thicker than 1mm</w:t>
      </w:r>
      <w:r>
        <w:t xml:space="preserve"> against the gingival wall specifically — thinner than the general 2mm-per-layer rule (Section 1 above) — to ensure adequate light irradiation reaches all the way through this hardest-to-cure, hardest-to-seal increment.</w:t>
      </w:r>
      <w:r>
        <w:t xml:space="preserve"> [2, p.605]</w:t>
      </w:r>
    </w:p>
    <w:p>
      <w:pPr>
        <w:pStyle w:val="Heading3"/>
      </w:pPr>
      <w:r>
        <w:t>Light-Reflecting Wedges — A Technique with Real Limits</w:t>
      </w:r>
    </w:p>
    <w:p>
      <w:r>
        <w:t>When a clear matrix and light-reflecting wedge are used, the initial cure is directed THROUGH the wedge to reach the gingival increment. Light transmission through such wedges varies considerably between studies — reported anywhere from 66% to 95% of incident light — so exposure time should be increased by 50% specifically for wedge-directed curing to compensate for this variable attenuation.</w:t>
      </w:r>
      <w:r>
        <w:t xml:space="preserve"> [2, p.605-606]</w:t>
      </w:r>
    </w:p>
    <w:p>
      <w:r>
        <w:t>Crucially, this technique's real-world effectiveness is margin-dependent, not universal: when the gingival margin is ON ENAMEL, directing cure through a reflecting wedge produces BETTER marginal adaptation than curing from the occlusal direction. However, when the gingival margin is ON DENTIN, this technique has FAILED to reduce gingival microleakage compared with other curing approaches</w:t>
      </w:r>
      <w:r>
        <w:t xml:space="preserve"> [2, p.606]</w:t>
      </w:r>
      <w:r>
        <w:t xml:space="preserve"> — a genuine limitation worth stating plainly rather than treating the wedge technique as a universal fix.</w:t>
      </w:r>
    </w:p>
    <w:p>
      <w:pPr>
        <w:pStyle w:val="Heading3"/>
      </w:pPr>
      <w:r>
        <w:t>Light Delivery Distance and Composite Viscosity</w:t>
      </w:r>
    </w:p>
    <w:p>
      <w:r>
        <w:t xml:space="preserve">If a metal matrix (fully surrounding the tooth, non-light-transmitting) is used instead, ALL increments must be cured from the occlusal aspect, with the light tip positioned as close as possible to the resin — because curing-light output diminishes sharply with distance: </w:t>
      </w:r>
      <w:r>
        <w:t>50% of light output is lost at just 3-6mm from the tip</w:t>
      </w:r>
      <w:r>
        <w:t>. After matrix removal, all proximal surfaces should receive SUPPLEMENTAL curing to maximize final conversion, since the matrix itself blocked direct light access during the main cure.</w:t>
      </w:r>
      <w:r>
        <w:t xml:space="preserve"> [2, p.606]</w:t>
      </w:r>
    </w:p>
    <w:p>
      <w:r>
        <w:t>Composite viscosity and placement technique directly affect void formation and bond strength: thicker-consistency composites show significantly MORE cavity-wall voids than medium/thin-viscosity materials, and composite pre-loaded in tips/ampules tends to be higher viscosity than syringe-supplied composite. Placement METHOD itself matters independently of the material: using a dedicated placement-tip delivery system (e.g. Centrix) significantly decreases wall-adjacent voids compared with smearing the material into place with a plastic instrument or manually “condensing” it — since void formation directly reduces bond strength as wall adaptation worsens.</w:t>
      </w:r>
      <w:r>
        <w:t xml:space="preserve"> [2, p.606]</w:t>
      </w:r>
    </w:p>
    <w:p>
      <w:pPr>
        <w:pStyle w:val="Heading2"/>
      </w:pPr>
      <w:r>
        <w:t>3. Bulk-Fill Technique</w:t>
      </w:r>
    </w:p>
    <w:p>
      <w:pPr>
        <w:spacing w:after="120"/>
      </w:pPr>
      <w:r>
        <w:rPr>
          <w:b w:val="0"/>
          <w:i w:val="0"/>
        </w:rPr>
        <w:t>Bulk-fill composites were developed specifically to overcome the two reasons incremental technique is required in the first place: shrinkage stress (requiring oblique, C-factor-conscious increments) and limited depth of cure (requiring ≤2mm layers). Manufacturers addressed these through distinct chemistries</w:t>
      </w:r>
      <w:r>
        <w:rPr>
          <w:b w:val="0"/>
          <w:i w:val="0"/>
        </w:rPr>
        <w:t xml:space="preserve"> [1, p.617]</w:t>
      </w:r>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Product example</w:t>
            </w:r>
          </w:p>
        </w:tc>
        <w:tc>
          <w:tcPr>
            <w:tcW w:type="dxa" w:w="4320"/>
          </w:tcPr>
          <w:p>
            <w:r>
              <w:rPr>
                <w:b/>
                <w:sz w:val="18"/>
              </w:rPr>
              <w:t>Mechanism</w:t>
            </w:r>
          </w:p>
        </w:tc>
      </w:tr>
      <w:tr>
        <w:tc>
          <w:tcPr>
            <w:tcW w:type="dxa" w:w="4320"/>
          </w:tcPr>
          <w:p>
            <w:r>
              <w:rPr>
                <w:sz w:val="18"/>
              </w:rPr>
              <w:t>Admira Fusion X-tra (Voco)</w:t>
            </w:r>
          </w:p>
        </w:tc>
        <w:tc>
          <w:tcPr>
            <w:tcW w:type="dxa" w:w="4320"/>
          </w:tcPr>
          <w:p>
            <w:r>
              <w:rPr>
                <w:sz w:val="18"/>
              </w:rPr>
              <w:t>Ormocer (organically modified ceramic) — an oligomer with an inorganic backbone and organic polymerizable groups; the inorganic structure and larger molecular weight reduce volumetric shrinkage directly</w:t>
            </w:r>
          </w:p>
        </w:tc>
      </w:tr>
      <w:tr>
        <w:tc>
          <w:tcPr>
            <w:tcW w:type="dxa" w:w="4320"/>
          </w:tcPr>
          <w:p>
            <w:r>
              <w:rPr>
                <w:sz w:val="18"/>
              </w:rPr>
              <w:t>Filtek Bulk Fill (3M Espe)</w:t>
            </w:r>
          </w:p>
        </w:tc>
        <w:tc>
          <w:tcPr>
            <w:tcW w:type="dxa" w:w="4320"/>
          </w:tcPr>
          <w:p>
            <w:r>
              <w:rPr>
                <w:sz w:val="18"/>
              </w:rPr>
              <w:t>Addition-fragmentation monomer (AFM) — polymerizes like standard methacrylate, but contains a reactive site that cleaves during polymerization, relaxing the developing network and relieving stress</w:t>
            </w:r>
          </w:p>
        </w:tc>
      </w:tr>
      <w:tr>
        <w:tc>
          <w:tcPr>
            <w:tcW w:type="dxa" w:w="4320"/>
          </w:tcPr>
          <w:p>
            <w:r>
              <w:rPr>
                <w:sz w:val="18"/>
              </w:rPr>
              <w:t>SureFil SDR (Dentsply)</w:t>
            </w:r>
          </w:p>
        </w:tc>
        <w:tc>
          <w:tcPr>
            <w:tcW w:type="dxa" w:w="4320"/>
          </w:tcPr>
          <w:p>
            <w:r>
              <w:rPr>
                <w:sz w:val="18"/>
              </w:rPr>
              <w:t>A polymerization modulator embedded in the monomer backbone reduces stress buildup WITHOUT reducing polymerization rate or conversion — forms a more relaxed network</w:t>
            </w:r>
          </w:p>
        </w:tc>
      </w:tr>
    </w:tbl>
    <w:p>
      <w:r>
        <w:rPr>
          <w:i/>
          <w:sz w:val="18"/>
        </w:rPr>
        <w:t>Source: [1, p.617-618]. General principle: shrinkage stress is determined by total volumetric shrinkage, the material's internal flowability, and polymerization speed — a highly-shrinking, low-flowability, fast-curing material produces the highest stress, and each bulk-fill chemistry above targets a different one of these three variables.</w:t>
      </w:r>
    </w:p>
    <w:p/>
    <w:p>
      <w:pPr>
        <w:spacing w:after="120"/>
      </w:pPr>
      <w:r>
        <w:rPr>
          <w:b w:val="0"/>
          <w:i w:val="0"/>
        </w:rPr>
        <w:t xml:space="preserve">Depth of cure depends on monomer chemistry, initiator system, and the composite's own opacity/shade. Bulk-fill materials are deliberately formulated MORE TRANSLUCENT than regular composites, allowing greater light transmission and therefore adequate cure at greater depth: </w:t>
      </w:r>
      <w:r>
        <w:rPr>
          <w:b/>
          <w:i w:val="0"/>
        </w:rPr>
        <w:t>4-5mm for bulk-fill vs. only 2mm for regular composite</w:t>
      </w:r>
      <w:r>
        <w:rPr>
          <w:b w:val="0"/>
          <w:i w:val="0"/>
        </w:rPr>
        <w:t xml:space="preserve"> [1, p.618]</w:t>
      </w:r>
      <w:r>
        <w:rPr>
          <w:b w:val="0"/>
          <w:i w:val="0"/>
        </w:rPr>
        <w:t>.</w:t>
      </w:r>
    </w:p>
    <w:p>
      <w:pPr>
        <w:spacing w:before="80" w:after="80"/>
      </w:pPr>
      <w:r>
        <w:rPr>
          <w:b/>
        </w:rPr>
        <w:t xml:space="preserve">DEFINITION — Bulk-fill classification: </w:t>
      </w:r>
      <w:r>
        <w:rPr>
          <w:b w:val="0"/>
          <w:i w:val="0"/>
        </w:rPr>
        <w:t>two distinct product categories, not one: (1) BASE/flowable bulk-fill materials — lower filler content, lower esthetics, used to fill the internal/proximal bulk of a preparation and requiring a 2mm capping layer of regular composite over the occlusal surface (e.g. SureFil SDR, Filtek Bulk Fill flow); (2) FULL RESTORATIVE bulk-fill materials — regular viscosity, indicated to completely fill the preparation without any capping layer at all (e.g. Filtek Bulk Fill Posterior, Beautiful Bulk). Using a base-type product without its required capping layer is a genuine technique error, not a acceptable shortcut.</w:t>
      </w:r>
      <w:r>
        <w:t xml:space="preserve"> [1, p.618]</w:t>
      </w:r>
    </w:p>
    <w:p>
      <w:pPr>
        <w:spacing w:after="120"/>
      </w:pPr>
      <w:r>
        <w:rPr>
          <w:b/>
          <w:i w:val="0"/>
        </w:rPr>
        <w:t>Caution:</w:t>
      </w:r>
      <w:r>
        <w:rPr>
          <w:b w:val="0"/>
          <w:i w:val="0"/>
        </w:rPr>
        <w:t xml:space="preserve"> manufacturer-claimed depth-of-cure figures for bulk-fill materials are always calculated under specific assumed light-curing-unit power and exposure time — the actual depth of cure achieved chairside depends directly on the clinician's own curing light output and technique, not solely on the material's inherent translucency</w:t>
      </w:r>
      <w:r>
        <w:rPr>
          <w:b w:val="0"/>
          <w:i w:val="0"/>
        </w:rPr>
        <w:t xml:space="preserve"> [1, p.618]</w:t>
      </w:r>
      <w:r>
        <w:rPr>
          <w:b w:val="0"/>
          <w:i w:val="0"/>
        </w:rPr>
        <w:t>.</w:t>
      </w:r>
    </w:p>
    <w:p>
      <w:r>
        <w:br w:type="page"/>
      </w:r>
    </w:p>
    <w:p>
      <w:pPr>
        <w:pStyle w:val="Heading2"/>
      </w:pPr>
      <w:r>
        <w:t>4. Color/Shade Selection</w:t>
      </w:r>
    </w:p>
    <w:p>
      <w:pPr>
        <w:pStyle w:val="Heading3"/>
      </w:pPr>
      <w:r>
        <w:t>4.1 The Three Dimensions of Color</w:t>
      </w:r>
    </w:p>
    <w:p>
      <w:pPr>
        <w:spacing w:before="80" w:after="80"/>
      </w:pPr>
      <w:r>
        <w:rPr>
          <w:b/>
        </w:rPr>
        <w:t xml:space="preserve">DEFINITION — Hue, Value, Chroma (Munsell system): </w:t>
      </w:r>
      <w:r>
        <w:rPr>
          <w:b w:val="0"/>
          <w:i w:val="0"/>
        </w:rPr>
        <w:t>the three attributes that together define a colour. Hue is the actual colour name (e.g. red, yellow). Value is lightness, ranging from pure black to pure white. Chroma is intensity/saturation — low chroma is a weak/washed-out colour, high chroma is strong/vivid. The combination of all three gives the specific shade or tone.</w:t>
      </w:r>
      <w:r>
        <w:t xml:space="preserve"> [1, p.471]</w:t>
      </w:r>
    </w:p>
    <w:p>
      <w:pPr>
        <w:spacing w:after="120"/>
      </w:pPr>
      <w:r>
        <w:rPr>
          <w:b w:val="0"/>
          <w:i w:val="0"/>
        </w:rPr>
        <w:t>Natural teeth are genuinely polychromatic, not a single uniform shade — enamel colour ranges white to gray, dentin carries variable yellow/orange/red, and their relative thickness varies across the crown, meaning a single composite shade can never fully replicate a natural tooth's colour variation</w:t>
      </w:r>
      <w:r>
        <w:rPr>
          <w:b w:val="0"/>
          <w:i w:val="0"/>
        </w:rPr>
        <w:t xml:space="preserve"> [1, p.471]</w:t>
      </w:r>
      <w:r>
        <w:rPr>
          <w:b w:val="0"/>
          <w:i w:val="0"/>
        </w:rPr>
        <w:t>.</w:t>
      </w:r>
    </w:p>
    <w:p>
      <w:pPr>
        <w:pStyle w:val="Heading3"/>
      </w:pPr>
      <w:r>
        <w:t>4.2 Shade Guide Systems and Technique</w:t>
      </w:r>
    </w:p>
    <w:p>
      <w:pPr>
        <w:spacing w:after="120"/>
      </w:pPr>
      <w:r>
        <w:rPr>
          <w:b w:val="0"/>
          <w:i w:val="0"/>
        </w:rPr>
        <w:t xml:space="preserve">Most manufacturers now match their composite shades to the </w:t>
      </w:r>
      <w:r>
        <w:rPr>
          <w:b/>
          <w:i w:val="0"/>
        </w:rPr>
        <w:t>VITA Classical</w:t>
      </w:r>
      <w:r>
        <w:rPr>
          <w:b w:val="0"/>
          <w:i w:val="0"/>
        </w:rPr>
        <w:t xml:space="preserve"> guide (originally developed for ceramics): four hue families — A (reddish-brownish), B (reddish-yellow), C (grayish, lower chroma), D (reddish-gray) — each varying simultaneously by chroma/value (numbered 1, 2, 3, 3.5, 4). Technique: first select hue (comparing tabs of different hue but matched chroma/value against the tooth), then select the chroma/value combination within that hue family</w:t>
      </w:r>
      <w:r>
        <w:rPr>
          <w:b w:val="0"/>
          <w:i w:val="0"/>
        </w:rPr>
        <w:t xml:space="preserve"> [1, p.477]</w:t>
      </w:r>
      <w:r>
        <w:rPr>
          <w:b w:val="0"/>
          <w:i w:val="0"/>
        </w:rPr>
        <w:t>.</w:t>
      </w:r>
    </w:p>
    <w:p>
      <w:pPr>
        <w:spacing w:after="120"/>
      </w:pPr>
      <w:r>
        <w:rPr>
          <w:b w:val="0"/>
          <w:i w:val="0"/>
        </w:rPr>
        <w:t xml:space="preserve">The newer </w:t>
      </w:r>
      <w:r>
        <w:rPr>
          <w:b/>
          <w:i w:val="0"/>
        </w:rPr>
        <w:t>VITA Toothguide 3D-MASTER</w:t>
      </w:r>
      <w:r>
        <w:rPr>
          <w:b w:val="0"/>
          <w:i w:val="0"/>
        </w:rPr>
        <w:t xml:space="preserve"> separates all three dimensions explicitly via a dichotomous (yes/no, better/worse) decision method: value is determined FIRST (comparing lightness-group tabs, starting with the darkest group), then chroma is selected within that value group, then hue (more reddish or more yellowish relative to the selected sample) is determined last</w:t>
      </w:r>
      <w:r>
        <w:rPr>
          <w:b w:val="0"/>
          <w:i w:val="0"/>
        </w:rPr>
        <w:t xml:space="preserve"> [1, p.477]</w:t>
      </w:r>
      <w:r>
        <w:rPr>
          <w:b w:val="0"/>
          <w:i w:val="0"/>
        </w:rPr>
        <w:t>. A specific limitation worth noting: because VITA guides are made of ceramic (with an entirely different composition, including no organic matrix), their colour reproduction against a composite restorative can never be exact — shade guides made from the actual composite material being used are preferable where available</w:t>
      </w:r>
      <w:r>
        <w:rPr>
          <w:b w:val="0"/>
          <w:i w:val="0"/>
        </w:rPr>
        <w:t xml:space="preserve"> [1, p.478]</w:t>
      </w:r>
      <w:r>
        <w:rPr>
          <w:b w:val="0"/>
          <w:i w:val="0"/>
        </w:rPr>
        <w:t>.</w:t>
      </w:r>
    </w:p>
    <w:p>
      <w:pPr>
        <w:pStyle w:val="Heading3"/>
      </w:pPr>
      <w:r>
        <w:t>4.3 The Dehydration Trap — A Genuinely Counter-Intuitive Clinical Rule</w:t>
      </w:r>
    </w:p>
    <w:p>
      <w:pPr>
        <w:spacing w:after="120"/>
      </w:pPr>
      <w:r>
        <w:rPr>
          <w:b w:val="0"/>
          <w:i w:val="0"/>
        </w:rPr>
        <w:t xml:space="preserve">Shade determination </w:t>
      </w:r>
      <w:r>
        <w:rPr>
          <w:b/>
          <w:i w:val="0"/>
        </w:rPr>
        <w:t>must be performed BEFORE rubber dam isolation</w:t>
      </w:r>
      <w:r>
        <w:rPr>
          <w:b w:val="0"/>
          <w:i w:val="0"/>
        </w:rPr>
        <w:t>, on clean, hydrated teeth, because dehydration makes teeth appear LIGHTER (reduced translucency) — full rehydration can take several hours</w:t>
      </w:r>
      <w:r>
        <w:rPr>
          <w:b w:val="0"/>
          <w:i w:val="0"/>
        </w:rPr>
        <w:t xml:space="preserve"> [1, p.479]</w:t>
      </w:r>
      <w:r>
        <w:rPr>
          <w:b w:val="0"/>
          <w:i w:val="0"/>
        </w:rPr>
        <w:t xml:space="preserve">. This creates a specific, diagnosable failure pattern worth memorizing: if the shade was selected correctly before isolation, the restoration will appear </w:t>
      </w:r>
      <w:r>
        <w:rPr>
          <w:b w:val="0"/>
          <w:i/>
        </w:rPr>
        <w:t>darker</w:t>
      </w:r>
      <w:r>
        <w:rPr>
          <w:b w:val="0"/>
          <w:i w:val="0"/>
        </w:rPr>
        <w:t xml:space="preserve"> than the now-dehydrated remaining tooth structure immediately after rubber dam removal (which is expected and will self-correct as the tooth rehydrates over the following hours). Conversely, if the restoration shade instead looks </w:t>
      </w:r>
      <w:r>
        <w:rPr>
          <w:b w:val="0"/>
          <w:i/>
        </w:rPr>
        <w:t>similar</w:t>
      </w:r>
      <w:r>
        <w:rPr>
          <w:b w:val="0"/>
          <w:i w:val="0"/>
        </w:rPr>
        <w:t xml:space="preserve"> to the dehydrated tooth immediately after removal, the shade selection was probably wrong — the tooth will lighten further as it rehydrates, leaving the restoration looking too dark/mismatched later</w:t>
      </w:r>
      <w:r>
        <w:rPr>
          <w:b w:val="0"/>
          <w:i w:val="0"/>
        </w:rPr>
        <w:t xml:space="preserve"> [1, p.479]</w:t>
      </w:r>
      <w:r>
        <w:rPr>
          <w:b w:val="0"/>
          <w:i w:val="0"/>
        </w:rPr>
        <w:t>. Additional technique requirements: hold the shade guide at least one arm's length away (too-close viewing distorts perception), view along a line of sight perpendicular to the tooth surface, and use a neutral-coloured operatory (walls/furniture reflect their own colour onto the teeth being matched)</w:t>
      </w:r>
      <w:r>
        <w:rPr>
          <w:b w:val="0"/>
          <w:i w:val="0"/>
        </w:rPr>
        <w:t xml:space="preserve"> [1, p.479]</w:t>
      </w:r>
      <w:r>
        <w:rPr>
          <w:b w:val="0"/>
          <w:i w:val="0"/>
        </w:rPr>
        <w:t>.</w:t>
      </w:r>
    </w:p>
    <w:p>
      <w:r>
        <w:br w:type="page"/>
      </w:r>
    </w:p>
    <w:p>
      <w:pPr>
        <w:pStyle w:val="Heading2"/>
      </w:pPr>
      <w:r>
        <w:t>5. Marginal Adaptation and Finishing</w:t>
      </w:r>
    </w:p>
    <w:p>
      <w:pPr>
        <w:pStyle w:val="Heading3"/>
      </w:pPr>
      <w:r>
        <w:t>5.1 Occlusal Adjustment Protocol</w:t>
      </w:r>
    </w:p>
    <w:p>
      <w:pPr>
        <w:spacing w:after="120"/>
      </w:pPr>
      <w:r>
        <w:rPr>
          <w:b w:val="0"/>
          <w:i w:val="0"/>
        </w:rPr>
        <w:t>Finishing should ideally be minimal — the final composite increment's surface should already be near-final in shape and smoothness — but evaluating occlusion accurately without articulating paper is essentially impossible, so some adjustment is almost always required</w:t>
      </w:r>
      <w:r>
        <w:rPr>
          <w:b w:val="0"/>
          <w:i w:val="0"/>
        </w:rPr>
        <w:t xml:space="preserve"> [1, p.626]</w:t>
      </w:r>
      <w:r>
        <w:rPr>
          <w:b w:val="0"/>
          <w:i w:val="0"/>
        </w:rPr>
        <w:t>. The standard two-colour articulating-paper protocol</w:t>
      </w:r>
      <w:r>
        <w:rPr>
          <w:b w:val="0"/>
          <w:i w:val="0"/>
        </w:rPr>
        <w:t xml:space="preserve"> [1, p.626]</w:t>
      </w:r>
      <w:r>
        <w:rPr>
          <w:b w:val="0"/>
          <w:i w:val="0"/>
        </w:rPr>
        <w:t>:</w:t>
      </w:r>
    </w:p>
    <w:p>
      <w:pPr>
        <w:pStyle w:val="ListNumber"/>
        <w:spacing w:after="60"/>
      </w:pPr>
      <w:r>
        <w:rPr>
          <w:b w:val="0"/>
          <w:i w:val="0"/>
        </w:rPr>
        <w:t>Black side facing the restoration; patient closes into centric occlusion. If ONLY the new restoration marks (not the adjacent teeth's pre-existing contacts), grind the marked area and re-test — repeat until the adjacent teeth's original contacts reappear WHILE the restoration still contacts.</w:t>
      </w:r>
    </w:p>
    <w:p>
      <w:pPr>
        <w:pStyle w:val="ListNumber"/>
        <w:spacing w:after="60"/>
      </w:pPr>
      <w:r>
        <w:rPr>
          <w:b w:val="0"/>
          <w:i w:val="0"/>
        </w:rPr>
        <w:t>Red side facing the restoration; patient performs protrusive/lateral excursive movements to mark any interference contacts during disocclusion.</w:t>
      </w:r>
    </w:p>
    <w:p>
      <w:pPr>
        <w:pStyle w:val="ListNumber"/>
        <w:spacing w:after="60"/>
      </w:pPr>
      <w:r>
        <w:rPr>
          <w:b w:val="0"/>
          <w:i w:val="0"/>
        </w:rPr>
        <w:t>Black side again for a final centric-contact check; ALL red-marked contacts (excursive interferences) are removed — the black centric contact must NOT be altered at this stage.</w:t>
      </w:r>
    </w:p>
    <w:p>
      <w:pPr>
        <w:pStyle w:val="ListNumber"/>
        <w:spacing w:after="60"/>
      </w:pPr>
      <w:r>
        <w:rPr>
          <w:b w:val="0"/>
          <w:i w:val="0"/>
        </w:rPr>
        <w:t>Repeat until no excursive interferences remain, using round/pear-shaped fine-grit diamonds, multi-bladed burs, or aluminum oxide stones, matched in shape to the surface being adjusted.</w:t>
      </w:r>
    </w:p>
    <w:p>
      <w:pPr>
        <w:spacing w:after="120"/>
      </w:pPr>
      <w:r>
        <w:rPr>
          <w:b w:val="0"/>
          <w:i w:val="0"/>
        </w:rPr>
        <w:t>A specific instrument-selection caution: rotary instruments should not touch/remove enamel at the margins, and the composite itself should not be excessively ground down</w:t>
      </w:r>
      <w:r>
        <w:rPr>
          <w:b w:val="0"/>
          <w:i w:val="0"/>
        </w:rPr>
        <w:t xml:space="preserve"> [1, p.626]</w:t>
      </w:r>
      <w:r>
        <w:rPr>
          <w:b w:val="0"/>
          <w:i w:val="0"/>
        </w:rPr>
        <w:t>. Grinding produces genuine subsurface damage — microcracks 25-50µm deep — which can adversely affect long-term wear resistance, so minimizing rotary instrument use overall (not just at margins) is a real clinical goal, not just an efficiency preference</w:t>
      </w:r>
      <w:r>
        <w:rPr>
          <w:b w:val="0"/>
          <w:i w:val="0"/>
        </w:rPr>
        <w:t xml:space="preserve"> [1, p.626]</w:t>
      </w:r>
      <w:r>
        <w:rPr>
          <w:b w:val="0"/>
          <w:i w:val="0"/>
        </w:rPr>
        <w:t>.</w:t>
      </w:r>
    </w:p>
    <w:p>
      <w:pPr>
        <w:pStyle w:val="Heading3"/>
      </w:pPr>
      <w:r>
        <w:t>5.2 Proximal Finishing and the Floss Check</w:t>
      </w:r>
    </w:p>
    <w:p>
      <w:pPr>
        <w:spacing w:after="120"/>
      </w:pPr>
      <w:r>
        <w:rPr>
          <w:b w:val="0"/>
          <w:i w:val="0"/>
        </w:rPr>
        <w:t>If the matrix and wedge were correctly placed, the proximal surface should already copy the matrix strip's smoothness and typically needs NO further polishing — checked by wrapping dental floss around the proximal surface and moving it gingivo-occlusally to assess smoothness and contact tightness</w:t>
      </w:r>
      <w:r>
        <w:rPr>
          <w:b w:val="0"/>
          <w:i w:val="0"/>
        </w:rPr>
        <w:t xml:space="preserve"> [1, p.626]</w:t>
      </w:r>
      <w:r>
        <w:rPr>
          <w:b w:val="0"/>
          <w:i w:val="0"/>
        </w:rPr>
        <w:t>. Gingival overhangs, where present, are removed with the coarse-grit side of a narrow abrasive strip (narrow specifically to avoid inadvertently grinding away the proximal contact itself) or a serrated strip saw; marginal ridges/embrasures are finished with small abrasive discs, flame-shaped burs, or a contour carbide carver/scalpel blade</w:t>
      </w:r>
      <w:r>
        <w:rPr>
          <w:b w:val="0"/>
          <w:i w:val="0"/>
        </w:rPr>
        <w:t xml:space="preserve"> [1, p.626-627]</w:t>
      </w:r>
      <w:r>
        <w:rPr>
          <w:b w:val="0"/>
          <w:i w:val="0"/>
        </w:rPr>
        <w:t>.</w:t>
      </w:r>
    </w:p>
    <w:p>
      <w:pPr>
        <w:pStyle w:val="Heading3"/>
      </w:pPr>
      <w:r>
        <w:t>5.3 Polishing Sequence</w:t>
      </w:r>
    </w:p>
    <w:p>
      <w:pPr>
        <w:spacing w:after="120"/>
      </w:pPr>
      <w:r>
        <w:rPr>
          <w:b w:val="0"/>
          <w:i w:val="0"/>
        </w:rPr>
        <w:t>Polishing uses graduated abrasive rubber points/cups: coarse grit first (applied gently, with intermittent movement, until surface roughness is homogeneous), then the surface is washed/dried to remove abrasive residue before the fine-grit step. Marginal ridges and buccal/lingual/occlusal embrasures can be polished with fine abrasive discs; felt points with aluminum oxide or diamond polishing paste, silicon-carbide bristled brushes (which release fresh abrasive as bristles wear), and abrasive rubber spiral wheels are further options depending on surface geometry</w:t>
      </w:r>
      <w:r>
        <w:rPr>
          <w:b w:val="0"/>
          <w:i w:val="0"/>
        </w:rPr>
        <w:t xml:space="preserve"> [1, p.627]</w:t>
      </w:r>
      <w:r>
        <w:rPr>
          <w:b w:val="0"/>
          <w:i w:val="0"/>
        </w:rPr>
        <w:t>. The end goal: the finished/polished restoration should simulate natural tooth smoothness closely enough that the patient does not notice it and it does not irritate the tongue/oral mucosa</w:t>
      </w:r>
      <w:r>
        <w:rPr>
          <w:b w:val="0"/>
          <w:i w:val="0"/>
        </w:rPr>
        <w:t xml:space="preserve"> [1, p.627]</w:t>
      </w:r>
      <w:r>
        <w:rPr>
          <w:b w:val="0"/>
          <w:i w:val="0"/>
        </w:rPr>
        <w:t>.</w:t>
      </w:r>
    </w:p>
    <w:p>
      <w:pPr>
        <w:pStyle w:val="Heading3"/>
      </w:pPr>
      <w:r>
        <w:t>5.4 A Genuinely Counter-Intuitive Finding: Delay Finishing to the Next Visit</w:t>
      </w:r>
    </w:p>
    <w:p>
      <w:pPr>
        <w:spacing w:after="120"/>
      </w:pPr>
      <w:r>
        <w:rPr>
          <w:b w:val="0"/>
          <w:i w:val="0"/>
        </w:rPr>
        <w:t xml:space="preserve">Despite being common practice to finish/polish immediately (often because both dentist and patient are tired by the end of the restorative visit), a cited study found that finishing/polishing at a </w:t>
      </w:r>
      <w:r>
        <w:rPr>
          <w:b/>
          <w:i w:val="0"/>
        </w:rPr>
        <w:t>LATER appointment</w:t>
      </w:r>
      <w:r>
        <w:rPr>
          <w:b w:val="0"/>
          <w:i w:val="0"/>
        </w:rPr>
        <w:t xml:space="preserve"> actually IMPROVES the restoration's wear resistance</w:t>
      </w:r>
      <w:r>
        <w:rPr>
          <w:b w:val="0"/>
          <w:i w:val="0"/>
        </w:rPr>
        <w:t xml:space="preserve"> [1, p.628]</w:t>
      </w:r>
      <w:r>
        <w:rPr>
          <w:b w:val="0"/>
          <w:i w:val="0"/>
        </w:rPr>
        <w:t>. The mechanism: composite has not yet reached its maximum degree of conversion (and therefore maximum mechanical properties) immediately after curing — the “dark-curing”/post-polymerization phase described in Section 1.1 continues for up to 24 hours, so grinding/polishing too early subjects an incompletely-matured surface to rotary-instrument stress it is not yet mechanically ready to bear</w:t>
      </w:r>
      <w:r>
        <w:rPr>
          <w:b w:val="0"/>
          <w:i w:val="0"/>
        </w:rPr>
        <w:t xml:space="preserve"> [1, p.628]</w:t>
      </w:r>
      <w:r>
        <w:rPr>
          <w:b w:val="0"/>
          <w:i w:val="0"/>
        </w:rPr>
        <w:t>. This is explicitly offered as a genuine technique recommendation, not merely a scheduling convenience — though it must be weighed against patient-management and practical scheduling realities.</w:t>
      </w:r>
    </w:p>
    <w:p>
      <w:r>
        <w:br w:type="page"/>
      </w:r>
    </w:p>
    <w:p>
      <w:pPr>
        <w:pStyle w:val="Heading1"/>
      </w:pPr>
      <w:r>
        <w:t>Quick-Revision 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Topic</w:t>
            </w:r>
          </w:p>
        </w:tc>
        <w:tc>
          <w:tcPr>
            <w:tcW w:type="dxa" w:w="2880"/>
          </w:tcPr>
          <w:p>
            <w:r>
              <w:rPr>
                <w:b/>
                <w:sz w:val="18"/>
              </w:rPr>
              <w:t>Key take-away</w:t>
            </w:r>
          </w:p>
        </w:tc>
        <w:tc>
          <w:tcPr>
            <w:tcW w:type="dxa" w:w="2880"/>
          </w:tcPr>
          <w:p>
            <w:r>
              <w:rPr>
                <w:b/>
                <w:sz w:val="18"/>
              </w:rPr>
              <w:t>Source</w:t>
            </w:r>
          </w:p>
        </w:tc>
      </w:tr>
      <w:tr>
        <w:tc>
          <w:tcPr>
            <w:tcW w:type="dxa" w:w="2880"/>
          </w:tcPr>
          <w:p>
            <w:r>
              <w:rPr>
                <w:sz w:val="18"/>
              </w:rPr>
              <w:t>Shrinkage phases</w:t>
            </w:r>
          </w:p>
        </w:tc>
        <w:tc>
          <w:tcPr>
            <w:tcW w:type="dxa" w:w="2880"/>
          </w:tcPr>
          <w:p>
            <w:r>
              <w:rPr>
                <w:sz w:val="18"/>
              </w:rPr>
              <w:t>Pre-gel = flows, low stress; gel point at 10-20% conversion; post-gel = stress transmits directly to tooth — shrinkage continues up to 24h ('dark polymerization')</w:t>
            </w:r>
          </w:p>
        </w:tc>
        <w:tc>
          <w:tcPr>
            <w:tcW w:type="dxa" w:w="2880"/>
          </w:tcPr>
          <w:p>
            <w:r>
              <w:rPr>
                <w:sz w:val="18"/>
              </w:rPr>
              <w:t>[1, p.438]</w:t>
            </w:r>
          </w:p>
        </w:tc>
      </w:tr>
      <w:tr>
        <w:tc>
          <w:tcPr>
            <w:tcW w:type="dxa" w:w="2880"/>
          </w:tcPr>
          <w:p>
            <w:r>
              <w:rPr>
                <w:sz w:val="18"/>
              </w:rPr>
              <w:t>Shrinkage direction myth</w:t>
            </w:r>
          </w:p>
        </w:tc>
        <w:tc>
          <w:tcPr>
            <w:tcW w:type="dxa" w:w="2880"/>
          </w:tcPr>
          <w:p>
            <w:r>
              <w:rPr>
                <w:sz w:val="18"/>
              </w:rPr>
              <w:t>Composite does NOT shrink toward the light source — it shrinks toward BONDED WALLS (finite-element-confirmed); old reflective-wedge technique worked by delaying gel point, not redirecting shrinkage</w:t>
            </w:r>
          </w:p>
        </w:tc>
        <w:tc>
          <w:tcPr>
            <w:tcW w:type="dxa" w:w="2880"/>
          </w:tcPr>
          <w:p>
            <w:r>
              <w:rPr>
                <w:sz w:val="18"/>
              </w:rPr>
              <w:t>[1, p.440]</w:t>
            </w:r>
          </w:p>
        </w:tc>
      </w:tr>
      <w:tr>
        <w:tc>
          <w:tcPr>
            <w:tcW w:type="dxa" w:w="2880"/>
          </w:tcPr>
          <w:p>
            <w:r>
              <w:rPr>
                <w:sz w:val="18"/>
              </w:rPr>
              <w:t>C-factor values</w:t>
            </w:r>
          </w:p>
        </w:tc>
        <w:tc>
          <w:tcPr>
            <w:tcW w:type="dxa" w:w="2880"/>
          </w:tcPr>
          <w:p>
            <w:r>
              <w:rPr>
                <w:sz w:val="18"/>
              </w:rPr>
              <w:t>Class I bulk-fill box = 5.0 (highest); Class II proximal box = 2.0; anterior fracture repair = 0.2 (lowest risk) — target ≤0.5 via oblique increments</w:t>
            </w:r>
          </w:p>
        </w:tc>
        <w:tc>
          <w:tcPr>
            <w:tcW w:type="dxa" w:w="2880"/>
          </w:tcPr>
          <w:p>
            <w:r>
              <w:rPr>
                <w:sz w:val="18"/>
              </w:rPr>
              <w:t>[1, p.439]</w:t>
            </w:r>
          </w:p>
        </w:tc>
      </w:tr>
      <w:tr>
        <w:tc>
          <w:tcPr>
            <w:tcW w:type="dxa" w:w="2880"/>
          </w:tcPr>
          <w:p>
            <w:r>
              <w:rPr>
                <w:sz w:val="18"/>
              </w:rPr>
              <w:t>Layer thickness/direction</w:t>
            </w:r>
          </w:p>
        </w:tc>
        <w:tc>
          <w:tcPr>
            <w:tcW w:type="dxa" w:w="2880"/>
          </w:tcPr>
          <w:p>
            <w:r>
              <w:rPr>
                <w:sz w:val="18"/>
              </w:rPr>
              <w:t>Max 2mm per increment; OBLIQUE layers create less stress than horizontal (fewer walls bonded simultaneously)</w:t>
            </w:r>
          </w:p>
        </w:tc>
        <w:tc>
          <w:tcPr>
            <w:tcW w:type="dxa" w:w="2880"/>
          </w:tcPr>
          <w:p>
            <w:r>
              <w:rPr>
                <w:sz w:val="18"/>
              </w:rPr>
              <w:t>[1, p.441]</w:t>
            </w:r>
          </w:p>
        </w:tc>
      </w:tr>
      <w:tr>
        <w:tc>
          <w:tcPr>
            <w:tcW w:type="dxa" w:w="2880"/>
          </w:tcPr>
          <w:p>
            <w:r>
              <w:rPr>
                <w:sz w:val="18"/>
              </w:rPr>
              <w:t>Bulk-fill depth of cure</w:t>
            </w:r>
          </w:p>
        </w:tc>
        <w:tc>
          <w:tcPr>
            <w:tcW w:type="dxa" w:w="2880"/>
          </w:tcPr>
          <w:p>
            <w:r>
              <w:rPr>
                <w:sz w:val="18"/>
              </w:rPr>
              <w:t>4-5mm (vs. 2mm regular) — achieved via deliberately higher translucency, NOT just a stronger claim; base-type bulk-fills still need a 2mm capping layer</w:t>
            </w:r>
          </w:p>
        </w:tc>
        <w:tc>
          <w:tcPr>
            <w:tcW w:type="dxa" w:w="2880"/>
          </w:tcPr>
          <w:p>
            <w:r>
              <w:rPr>
                <w:sz w:val="18"/>
              </w:rPr>
              <w:t>[1, p.618]</w:t>
            </w:r>
          </w:p>
        </w:tc>
      </w:tr>
      <w:tr>
        <w:tc>
          <w:tcPr>
            <w:tcW w:type="dxa" w:w="2880"/>
          </w:tcPr>
          <w:p>
            <w:r>
              <w:rPr>
                <w:sz w:val="18"/>
              </w:rPr>
              <w:t>Shade selection timing</w:t>
            </w:r>
          </w:p>
        </w:tc>
        <w:tc>
          <w:tcPr>
            <w:tcW w:type="dxa" w:w="2880"/>
          </w:tcPr>
          <w:p>
            <w:r>
              <w:rPr>
                <w:sz w:val="18"/>
              </w:rPr>
              <w:t>MUST be done before rubber dam isolation, on hydrated teeth — dehydration falsely lightens teeth for HOURS</w:t>
            </w:r>
          </w:p>
        </w:tc>
        <w:tc>
          <w:tcPr>
            <w:tcW w:type="dxa" w:w="2880"/>
          </w:tcPr>
          <w:p>
            <w:r>
              <w:rPr>
                <w:sz w:val="18"/>
              </w:rPr>
              <w:t>[1, p.479]</w:t>
            </w:r>
          </w:p>
        </w:tc>
      </w:tr>
      <w:tr>
        <w:tc>
          <w:tcPr>
            <w:tcW w:type="dxa" w:w="2880"/>
          </w:tcPr>
          <w:p>
            <w:r>
              <w:rPr>
                <w:sz w:val="18"/>
              </w:rPr>
              <w:t>Dehydration diagnostic trick</w:t>
            </w:r>
          </w:p>
        </w:tc>
        <w:tc>
          <w:tcPr>
            <w:tcW w:type="dxa" w:w="2880"/>
          </w:tcPr>
          <w:p>
            <w:r>
              <w:rPr>
                <w:sz w:val="18"/>
              </w:rPr>
              <w:t>Correctly-shaded restoration looks slightly darker than the just-dehydrated tooth right after dam removal (expected, self-corrects); if it looks the SAME as the dehydrated tooth, the shade was probably wrong</w:t>
            </w:r>
          </w:p>
        </w:tc>
        <w:tc>
          <w:tcPr>
            <w:tcW w:type="dxa" w:w="2880"/>
          </w:tcPr>
          <w:p>
            <w:r>
              <w:rPr>
                <w:sz w:val="18"/>
              </w:rPr>
              <w:t>[1, p.479]</w:t>
            </w:r>
          </w:p>
        </w:tc>
      </w:tr>
      <w:tr>
        <w:tc>
          <w:tcPr>
            <w:tcW w:type="dxa" w:w="2880"/>
          </w:tcPr>
          <w:p>
            <w:r>
              <w:rPr>
                <w:sz w:val="18"/>
              </w:rPr>
              <w:t>Articulating paper protocol</w:t>
            </w:r>
          </w:p>
        </w:tc>
        <w:tc>
          <w:tcPr>
            <w:tcW w:type="dxa" w:w="2880"/>
          </w:tcPr>
          <w:p>
            <w:r>
              <w:rPr>
                <w:sz w:val="18"/>
              </w:rPr>
              <w:t>Black = centric contacts (must be preserved); Red = excursive interferences (must be removed) — repeat black/red cycle until only red marks are gone</w:t>
            </w:r>
          </w:p>
        </w:tc>
        <w:tc>
          <w:tcPr>
            <w:tcW w:type="dxa" w:w="2880"/>
          </w:tcPr>
          <w:p>
            <w:r>
              <w:rPr>
                <w:sz w:val="18"/>
              </w:rPr>
              <w:t>[1, p.626]</w:t>
            </w:r>
          </w:p>
        </w:tc>
      </w:tr>
      <w:tr>
        <w:tc>
          <w:tcPr>
            <w:tcW w:type="dxa" w:w="2880"/>
          </w:tcPr>
          <w:p>
            <w:r>
              <w:rPr>
                <w:sz w:val="18"/>
              </w:rPr>
              <w:t>Grinding damage</w:t>
            </w:r>
          </w:p>
        </w:tc>
        <w:tc>
          <w:tcPr>
            <w:tcW w:type="dxa" w:w="2880"/>
          </w:tcPr>
          <w:p>
            <w:r>
              <w:rPr>
                <w:sz w:val="18"/>
              </w:rPr>
              <w:t>Rotary finishing creates 25-50µm microcracks — minimize rotary instrument use, don't touch enamel margins</w:t>
            </w:r>
          </w:p>
        </w:tc>
        <w:tc>
          <w:tcPr>
            <w:tcW w:type="dxa" w:w="2880"/>
          </w:tcPr>
          <w:p>
            <w:r>
              <w:rPr>
                <w:sz w:val="18"/>
              </w:rPr>
              <w:t>[1, p.626]</w:t>
            </w:r>
          </w:p>
        </w:tc>
      </w:tr>
      <w:tr>
        <w:tc>
          <w:tcPr>
            <w:tcW w:type="dxa" w:w="2880"/>
          </w:tcPr>
          <w:p>
            <w:r>
              <w:rPr>
                <w:sz w:val="18"/>
              </w:rPr>
              <w:t>Proximal finishing</w:t>
            </w:r>
          </w:p>
        </w:tc>
        <w:tc>
          <w:tcPr>
            <w:tcW w:type="dxa" w:w="2880"/>
          </w:tcPr>
          <w:p>
            <w:r>
              <w:rPr>
                <w:sz w:val="18"/>
              </w:rPr>
              <w:t>A correctly matrix/wedge-placed proximal surface usually needs NO polishing — check with floss, not visually</w:t>
            </w:r>
          </w:p>
        </w:tc>
        <w:tc>
          <w:tcPr>
            <w:tcW w:type="dxa" w:w="2880"/>
          </w:tcPr>
          <w:p>
            <w:r>
              <w:rPr>
                <w:sz w:val="18"/>
              </w:rPr>
              <w:t>[1, p.626]</w:t>
            </w:r>
          </w:p>
        </w:tc>
      </w:tr>
      <w:tr>
        <w:tc>
          <w:tcPr>
            <w:tcW w:type="dxa" w:w="2880"/>
          </w:tcPr>
          <w:p>
            <w:r>
              <w:rPr>
                <w:sz w:val="18"/>
              </w:rPr>
              <w:t>Delay finishing to next visit</w:t>
            </w:r>
          </w:p>
        </w:tc>
        <w:tc>
          <w:tcPr>
            <w:tcW w:type="dxa" w:w="2880"/>
          </w:tcPr>
          <w:p>
            <w:r>
              <w:rPr>
                <w:sz w:val="18"/>
              </w:rPr>
              <w:t>Counter-intuitive but evidence-based: composite hasn't reached max conversion/hardness right after curing — finishing later improves wear resistance</w:t>
            </w:r>
          </w:p>
        </w:tc>
        <w:tc>
          <w:tcPr>
            <w:tcW w:type="dxa" w:w="2880"/>
          </w:tcPr>
          <w:p>
            <w:r>
              <w:rPr>
                <w:sz w:val="18"/>
              </w:rPr>
              <w:t>[1, p.628]</w:t>
            </w:r>
          </w:p>
        </w:tc>
      </w:tr>
    </w:tbl>
    <w:p/>
    <w:p>
      <w:r>
        <w:br w:type="page"/>
      </w:r>
    </w:p>
    <w:p>
      <w:pPr>
        <w:pStyle w:val="Heading1"/>
      </w:pPr>
      <w:r>
        <w:t>References (Vancouver Style)</w:t>
      </w:r>
    </w:p>
    <w:p>
      <w:pPr>
        <w:spacing w:after="120"/>
      </w:pPr>
      <w:r>
        <w:rPr>
          <w:b w:val="0"/>
          <w:i w:val="0"/>
        </w:rPr>
        <w:t>Page numbers refer to the page of the cited source, as printed in that source, on which the statement appears.</w:t>
      </w:r>
    </w:p>
    <w:p>
      <w:pPr>
        <w:spacing w:after="120"/>
        <w:ind w:left="432" w:hanging="432"/>
      </w:pPr>
      <w:r>
        <w:rPr>
          <w:sz w:val="20"/>
        </w:rPr>
        <w:t xml:space="preserve">1. </w:t>
      </w:r>
      <w:r>
        <w:rPr>
          <w:sz w:val="20"/>
        </w:rPr>
        <w:t>Torres CRG, editor. Modern Operative Dentistry: Principles for Clinical Practice. Cham: Springer Nature Switzerland; 2020. Chapter 13, “Light-Curing Units,” p.435-442; Chapter 14, “Composite Restoration on Anterior Teeth,” p.471-479; Chapter 15, “Composite Restoration on Posterior Teeth,” p.617-619, 626-628.</w:t>
      </w:r>
    </w:p>
    <w:p>
      <w:pPr>
        <w:spacing w:after="120"/>
        <w:ind w:left="432" w:hanging="432"/>
      </w:pPr>
      <w:r>
        <w:rPr>
          <w:sz w:val="20"/>
        </w:rPr>
        <w:t xml:space="preserve">2. </w:t>
      </w:r>
      <w:r>
        <w:rPr>
          <w:sz w:val="20"/>
        </w:rPr>
        <w:t>Hilton TJ, Ferracane JL, Broome JC, editors. Summitt's Fundamentals of Operative Dentistry: A Contemporary Approach. 4th ed. Chicago: Quintessence Publishing. Chapter 11, “Direct Posterior Resin Composite Restorations,” p.605-606.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