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36"/>
        </w:rPr>
        <w:t>SUB-MODULE 4.2a: CLASS-SPECIFIC COMPOSITE PROTOCOLS — CLASSES I &amp; II</w:t>
      </w:r>
    </w:p>
    <w:p/>
    <w:p>
      <w:pPr>
        <w:jc w:val="center"/>
      </w:pPr>
      <w:r>
        <w:rPr>
          <w:i/>
          <w:sz w:val="26"/>
        </w:rPr>
        <w:t>Compiled Study Notes — Organized by Topic</w:t>
      </w:r>
    </w:p>
    <w:p>
      <w:pPr>
        <w:jc w:val="center"/>
      </w:pPr>
      <w:r>
        <w:rPr>
          <w:i/>
          <w:sz w:val="24"/>
        </w:rPr>
        <w:t>Occlusal (Class I) anatomy replication and proximal (Class II) matrix/contact technique, each fact page-cited</w:t>
      </w:r>
    </w:p>
    <w:p/>
    <w:p>
      <w:pPr>
        <w:jc w:val="center"/>
      </w:pPr>
      <w:r>
        <w:rPr>
          <w:sz w:val="22"/>
        </w:rPr>
        <w:t>Citation style: Vancouver (numbered, in-text, with page references)</w:t>
      </w:r>
    </w:p>
    <w:p>
      <w:r>
        <w:br w:type="page"/>
      </w:r>
    </w:p>
    <w:p>
      <w:pPr>
        <w:pStyle w:val="Heading1"/>
      </w:pPr>
      <w:r>
        <w:t>A Note on Sources and Referencing</w:t>
      </w:r>
    </w:p>
    <w:p>
      <w:pPr>
        <w:spacing w:after="120"/>
        <w:jc w:val="both"/>
      </w:pPr>
      <w:r>
        <w:rPr>
          <w:b w:val="0"/>
          <w:i w:val="0"/>
        </w:rPr>
        <w:t xml:space="preserve">This document is the first half (Classes I and II) of Sub-Module 4.2, split by class group per the agreed approach. Companion Sub-Module 4.2b will cover Classes III, IV, and V. </w:t>
      </w:r>
      <w:r>
        <w:rPr>
          <w:b/>
          <w:i w:val="0"/>
        </w:rPr>
        <w:t>Scope boundary:</w:t>
      </w:r>
      <w:r>
        <w:rPr>
          <w:b w:val="0"/>
          <w:i w:val="0"/>
        </w:rPr>
        <w:t xml:space="preserve"> cavity outline form/design was already covered in Sub-Module 2.3 and general placement technique (shrinkage management, incremental/bulk-fill principles, shade selection, finishing) in Sub-Module 4.1 — this document cross-references both and focuses specifically on what is genuinely CLASS-SPECIFIC: matrix/contact technique for Class II, and anatomy-replication technique for Class I.</w:t>
      </w:r>
    </w:p>
    <w:p>
      <w:pPr>
        <w:spacing w:after="120"/>
      </w:pPr>
      <w:r>
        <w:rPr>
          <w:b/>
          <w:i w:val="0"/>
        </w:rPr>
        <w:t>Sources used in this document:</w:t>
      </w:r>
    </w:p>
    <w:p>
      <w:pPr>
        <w:pStyle w:val="ListBullet"/>
        <w:spacing w:after="60"/>
      </w:pPr>
      <w:r>
        <w:rPr>
          <w:b w:val="0"/>
          <w:i w:val="0"/>
        </w:rPr>
        <w:t xml:space="preserve">Roberson TM, Heymann HO, Swift EJ Jr, editors. Sturdevant's Art and Science of Operative Dentistry. 5th ed. St. Louis: Mosby (Elsevier); 2006. Chapter 13, “Class I, II, and VI Direct Composite and Other Tooth-Colored Restorations,” p.569, 587-591. </w:t>
      </w:r>
      <w:r>
        <w:rPr>
          <w:b w:val="0"/>
          <w:i/>
        </w:rPr>
        <w:t>(standardised textbook — core explanation, especially matrix systems for Class II)</w:t>
      </w:r>
    </w:p>
    <w:p>
      <w:pPr>
        <w:pStyle w:val="ListBullet"/>
        <w:spacing w:after="60"/>
      </w:pPr>
      <w:r>
        <w:rPr>
          <w:b w:val="0"/>
          <w:i w:val="0"/>
        </w:rPr>
        <w:t xml:space="preserve">Torres CRG, editor. Modern Operative Dentistry: Principles for Clinical Practice. Cham: Springer Nature Switzerland; 2020. Chapter 15, “Composite Restoration on Posterior Teeth,” p.586-588. </w:t>
      </w:r>
      <w:r>
        <w:rPr>
          <w:b w:val="0"/>
          <w:i/>
        </w:rPr>
        <w:t>(standardised textbook — Class I anatomy-replication/stratified-layering technique)</w:t>
      </w:r>
    </w:p>
    <w:p>
      <w:pPr>
        <w:pStyle w:val="ListBullet"/>
        <w:spacing w:after="60"/>
      </w:pPr>
      <w:r>
        <w:rPr>
          <w:b w:val="0"/>
          <w:i w:val="0"/>
        </w:rPr>
      </w:r>
      <w:r>
        <w:rPr>
          <w:b w:val="0"/>
          <w:i/>
        </w:rPr>
      </w:r>
    </w:p>
    <w:p>
      <w:r>
        <w:rPr>
          <w:b/>
        </w:rPr>
        <w:t xml:space="preserve">Revision note: </w:t>
      </w:r>
      <w:r>
        <w:t>Summitt's was initially miscited (listed as a used source but never actually cited in-text). This is now corrected: new Section 1.1a adds Summitt's real Preventive Resin Restoration (PRR) technique for Class I (source [3]) — bur sizing, the no-occlusal-bevel rule, and the distinctive whole-fissure-system re-etch-and-seal finishing step.</w:t>
      </w:r>
    </w:p>
    <w:p>
      <w:pPr>
        <w:pStyle w:val="ListBullet"/>
      </w:pPr>
      <w:r>
        <w:t>Summitt JB, et al. Class 1 and Class 2 Resin Composite Restorations. In: Summitt's Fundamentals of Operative Dentistry. 4th ed. (standardised textbook — Section 1.1a, the Preventive Resin Restoration technique)</w:t>
      </w:r>
    </w:p>
    <w:p>
      <w:pPr>
        <w:spacing w:after="120"/>
      </w:pPr>
      <w:r>
        <w:rPr>
          <w:b/>
          <w:i w:val="0"/>
        </w:rPr>
        <w:t>Cross-referenced, not repeated:</w:t>
      </w:r>
    </w:p>
    <w:p>
      <w:pPr>
        <w:pStyle w:val="ListBullet"/>
        <w:spacing w:after="60"/>
      </w:pPr>
      <w:r>
        <w:rPr>
          <w:b w:val="0"/>
          <w:i w:val="0"/>
        </w:rPr>
        <w:t>Sub-Module 2.3 — Class I/II outline form, retention/resistance form, proximal box design geometry</w:t>
      </w:r>
    </w:p>
    <w:p>
      <w:pPr>
        <w:pStyle w:val="ListBullet"/>
        <w:spacing w:after="60"/>
      </w:pPr>
      <w:r>
        <w:rPr>
          <w:b w:val="0"/>
          <w:i w:val="0"/>
        </w:rPr>
        <w:t>Sub-Module 4.1 — shrinkage/C-factor management, incremental technique general principles, shade selection, finishing/polishing</w:t>
      </w:r>
    </w:p>
    <w:p>
      <w:r>
        <w:br w:type="page"/>
      </w:r>
    </w:p>
    <w:p>
      <w:pPr>
        <w:pStyle w:val="Heading1"/>
      </w:pPr>
      <w:r>
        <w:t>Sub-Module 4.2a: Class I &amp; II Composite Restoration Protocols</w:t>
      </w:r>
    </w:p>
    <w:p>
      <w:pPr>
        <w:pStyle w:val="Heading2"/>
      </w:pPr>
      <w:r>
        <w:t>1. Class I Composite Restorations</w:t>
      </w:r>
    </w:p>
    <w:p>
      <w:pPr>
        <w:spacing w:after="120"/>
      </w:pPr>
      <w:r>
        <w:rPr>
          <w:b w:val="0"/>
          <w:i w:val="0"/>
        </w:rPr>
        <w:t>Composite's suitability for Class I restorations follows directly from properties already covered in Sub-Module 3.1: adequate strength, thermal insulation (no base required), bonding-derived tooth-structure conservation and reinforcement</w:t>
      </w:r>
      <w:r>
        <w:rPr>
          <w:b w:val="0"/>
          <w:i w:val="0"/>
        </w:rPr>
        <w:t xml:space="preserve"> [1, p.569]</w:t>
      </w:r>
      <w:r>
        <w:rPr>
          <w:b w:val="0"/>
          <w:i w:val="0"/>
        </w:rPr>
        <w:t>. Indications specific to Class I/II as a pair</w:t>
      </w:r>
      <w:r>
        <w:rPr>
          <w:b w:val="0"/>
          <w:i w:val="0"/>
        </w:rPr>
        <w:t xml:space="preserve"> [1, p.569]</w:t>
      </w:r>
      <w:r>
        <w:rPr>
          <w:b w:val="0"/>
          <w:i w:val="0"/>
        </w:rPr>
        <w:t>: small-moderate restorations with enamel margins, most premolar/first-molar restorations (especially where esthetics matters), restorations NOT providing all occlusal contacts, restorations without heavy occlusal load, and situations allowing adequate isolation. Contraindications mirror Sub-Module 3.1's general composite contraindications (poor isolation, heavy occlusal stress, all-composite occlusal contacts, root-surface extension) — not repeated here.</w:t>
      </w:r>
    </w:p>
    <w:p>
      <w:pPr>
        <w:pStyle w:val="Heading3"/>
      </w:pPr>
      <w:r>
        <w:t>1.1 Anatomy-Replication (Stratified Layering) Technique</w:t>
      </w:r>
    </w:p>
    <w:p>
      <w:pPr>
        <w:spacing w:after="120"/>
      </w:pPr>
      <w:r>
        <w:rPr>
          <w:b w:val="0"/>
          <w:i w:val="0"/>
        </w:rPr>
        <w:t xml:space="preserve">For teeth with translucent enamel, esthetic replication of natural morphology uses a </w:t>
      </w:r>
      <w:r>
        <w:rPr>
          <w:b/>
          <w:i w:val="0"/>
        </w:rPr>
        <w:t>stratified layering technique</w:t>
      </w:r>
      <w:r>
        <w:rPr>
          <w:b w:val="0"/>
          <w:i w:val="0"/>
        </w:rPr>
        <w:t>: an opaque dentin-shade composite first replicates the lost DENTIN anatomy (which itself follows the external tooth contour, as demonstrated by dissolving away enamel from extracted teeth with acid to reveal the underlying dentin's own morphology), followed by a more translucent enamel-shade composite replicating the lost ENAMEL</w:t>
      </w:r>
      <w:r>
        <w:rPr>
          <w:b w:val="0"/>
          <w:i w:val="0"/>
        </w:rPr>
        <w:t xml:space="preserve"> [2, p.586]</w:t>
      </w:r>
      <w:r>
        <w:rPr>
          <w:b w:val="0"/>
          <w:i w:val="0"/>
        </w:rPr>
        <w:t>.</w:t>
      </w:r>
    </w:p>
    <w:p>
      <w:pPr>
        <w:spacing w:after="120"/>
      </w:pPr>
      <w:r>
        <w:rPr>
          <w:b w:val="0"/>
          <w:i w:val="0"/>
        </w:rPr>
        <w:t>Placement follows the oblique-increment, ≤2mm, maximum-two-walls-per-increment principle already established in Sub-Module 4.1 for C-factor management</w:t>
      </w:r>
      <w:r>
        <w:rPr>
          <w:b w:val="0"/>
          <w:i w:val="0"/>
        </w:rPr>
        <w:t xml:space="preserve"> [2, p.587]</w:t>
      </w:r>
      <w:r>
        <w:rPr>
          <w:b w:val="0"/>
          <w:i w:val="0"/>
        </w:rPr>
        <w:t>. A specific technique refinement for undermined enamel: where unsupported enamel is present, filling and curing THOSE areas first, with the initial light exposure directed THROUGH the remaining tooth structure (reducing the light reaching the composite at the very start of cure), reduces early shrinkage stress — curing is then completed conventionally from the occlusal surface afterward</w:t>
      </w:r>
      <w:r>
        <w:rPr>
          <w:b w:val="0"/>
          <w:i w:val="0"/>
        </w:rPr>
        <w:t xml:space="preserve"> [2, p.587]</w:t>
      </w:r>
      <w:r>
        <w:rPr>
          <w:b w:val="0"/>
          <w:i w:val="0"/>
        </w:rPr>
        <w:t>.</w:t>
      </w:r>
    </w:p>
    <w:p>
      <w:pPr>
        <w:spacing w:before="80" w:after="80"/>
      </w:pPr>
      <w:r>
        <w:rPr>
          <w:b/>
        </w:rPr>
        <w:t xml:space="preserve">DEFINITION — Dentin-then-enamel shade sequencing rule: </w:t>
      </w:r>
      <w:r>
        <w:rPr>
          <w:b w:val="0"/>
          <w:i w:val="0"/>
        </w:rPr>
        <w:t>the first (dentin-shade, opaque) increment should touch the pulpal wall AND one proximal/axial wall simultaneously; each subsequent dentin-shade increment touches the opposite wall, the pulpal wall, AND the previously-cured increment. Critically, dentin-shade increments should NEVER be allowed to reach the cavosurface margin — space must be deliberately left for the final, more esthetic enamel-shade layer to cover that margin.</w:t>
      </w:r>
      <w:r>
        <w:t xml:space="preserve"> [2, p.587-588]</w:t>
      </w:r>
    </w:p>
    <w:p>
      <w:pPr>
        <w:spacing w:after="120"/>
      </w:pPr>
      <w:r>
        <w:rPr>
          <w:b w:val="0"/>
          <w:i w:val="0"/>
        </w:rPr>
        <w:t>Practical handling technique: small amounts of composite can be hand-rolled into spheres (using dust-free gloves) and placed with a nonstick instrument using rapid, shallow strokes — minimizing the chance of the material detaching from the cavity wall mid-placement and creating voids</w:t>
      </w:r>
      <w:r>
        <w:rPr>
          <w:b w:val="0"/>
          <w:i w:val="0"/>
        </w:rPr>
        <w:t xml:space="preserve"> [2, p.587]</w:t>
      </w:r>
      <w:r>
        <w:rPr>
          <w:b w:val="0"/>
          <w:i w:val="0"/>
        </w:rPr>
        <w:t>. Each increment is light-cured for a minimum of 20 seconds</w:t>
      </w:r>
      <w:r>
        <w:rPr>
          <w:b w:val="0"/>
          <w:i w:val="0"/>
        </w:rPr>
        <w:t xml:space="preserve"> [2, p.587]</w:t>
      </w:r>
      <w:r>
        <w:rPr>
          <w:b w:val="0"/>
          <w:i w:val="0"/>
        </w:rPr>
        <w:t>.</w:t>
      </w:r>
    </w:p>
    <w:p>
      <w:pPr>
        <w:pStyle w:val="Heading3"/>
      </w:pPr>
      <w:r>
        <w:t>1.1a The Preventive Resin Restoration (PRR) Technique (Summitt's)</w:t>
      </w:r>
    </w:p>
    <w:p>
      <w:r>
        <w:t>For an initial (first-time) Class I carious lesion, the PRR is described as the technique of choice: rather than committing to a single uniform preparation depth, only the ACTUALLY DEMINERALIZED fissure segments are opened and restored, while adjacent sound fissure segments in the same fissure system are left untouched and simply sealed over.</w:t>
      </w:r>
      <w:r>
        <w:t xml:space="preserve"> [3, p.589]</w:t>
      </w:r>
    </w:p>
    <w:p>
      <w:r>
        <w:t>Preparation uses the smallest instrument that accomplishes the limited access needed — no. 1/16, 1/8, or 1/4 round burs (0.3, 0.4, and 0.5mm diameter respectively) or a dedicated fissurotomy bur — escalating to larger instrumentation only as the actual lesion size dictates. A specific, easily-missed rule: NO bevel should ever be placed on occlusal margins for this or any Class I resin composite preparation.</w:t>
      </w:r>
      <w:r>
        <w:t xml:space="preserve"> [3, p.589]</w:t>
      </w:r>
    </w:p>
    <w:p>
      <w:r>
        <w:t>Areas extending into dentin are filled with highly-filled composite in ≤2mm increments (consistent with Sub-Module 4.1's general rule); narrow/shallow portions may instead use sealant material, flowable composite, or warmed composite. Occlusal anatomy is hand-sculpted into the FINAL increment before it cures.</w:t>
      </w:r>
      <w:r>
        <w:t xml:space="preserve"> [3, p.590]</w:t>
      </w:r>
    </w:p>
    <w:p>
      <w:r>
        <w:t>The distinctive finishing step: after the final increment cures, the ENTIRE fissure system — both the newly-placed composite/sealant AND any remaining prepared or unprepared fissures — is re-etched as a single unit, and a surface-sealing resin is applied over all of it together, unifying the restored and merely-sealed portions under one continuous protective layer.</w:t>
      </w:r>
      <w:r>
        <w:t xml:space="preserve"> [3, p.590]</w:t>
      </w:r>
    </w:p>
    <w:p>
      <w:pPr>
        <w:pStyle w:val="Heading3"/>
      </w:pPr>
      <w:r>
        <w:t>1.2 Occlusal Anatomy Carving</w:t>
      </w:r>
    </w:p>
    <w:p>
      <w:pPr>
        <w:spacing w:after="120"/>
      </w:pPr>
      <w:r>
        <w:rPr>
          <w:b w:val="0"/>
          <w:i w:val="0"/>
        </w:rPr>
        <w:t xml:space="preserve">The final enamel-shade layers are shaped to recreate occlusal anatomy, </w:t>
      </w:r>
      <w:r>
        <w:rPr>
          <w:b/>
          <w:i w:val="0"/>
        </w:rPr>
        <w:t>preferably restoring one cusp at a time</w:t>
      </w:r>
      <w:r>
        <w:rPr>
          <w:b w:val="0"/>
          <w:i w:val="0"/>
        </w:rPr>
        <w:t xml:space="preserve"> rather than the whole occlusal table simultaneously, using nonstick instruments with probe- or conical-shaped working tips: the tip is positioned at the intended central groove location while the instrument's side rests on the remaining occlusal tooth structure, touching the cavosurface angle, to guide accurate groove/fossa placement relative to the natural remaining anatomy</w:t>
      </w:r>
      <w:r>
        <w:rPr>
          <w:b w:val="0"/>
          <w:i w:val="0"/>
        </w:rPr>
        <w:t xml:space="preserve"> [2, p.588]</w:t>
      </w:r>
      <w:r>
        <w:rPr>
          <w:b w:val="0"/>
          <w:i w:val="0"/>
        </w:rPr>
        <w:t>. Where desired, small portions of white opaque tint can be applied over already-cured dentin-shade composite specifically to simulate hypomineralized white-spot effects, for cases where this level of esthetic characterization is wanted</w:t>
      </w:r>
      <w:r>
        <w:rPr>
          <w:b w:val="0"/>
          <w:i w:val="0"/>
        </w:rPr>
        <w:t xml:space="preserve"> [2, p.588]</w:t>
      </w:r>
      <w:r>
        <w:rPr>
          <w:b w:val="0"/>
          <w:i w:val="0"/>
        </w:rPr>
        <w:t>.</w:t>
      </w:r>
    </w:p>
    <w:p>
      <w:r>
        <w:br w:type="page"/>
      </w:r>
    </w:p>
    <w:p>
      <w:pPr>
        <w:pStyle w:val="Heading2"/>
      </w:pPr>
      <w:r>
        <w:t>2. Class II Composite Restorations</w:t>
      </w:r>
    </w:p>
    <w:p>
      <w:pPr>
        <w:spacing w:after="120"/>
      </w:pPr>
      <w:r>
        <w:rPr>
          <w:b w:val="0"/>
          <w:i w:val="0"/>
        </w:rPr>
        <w:t>Sub-Module 2.3 already covered Class II proximal box outline form and the 0.2mm-into-dentin axial-depth convention for composite (versus amalgam's different, more retentive geometry) — not repeated here.</w:t>
      </w:r>
    </w:p>
    <w:p>
      <w:pPr>
        <w:pStyle w:val="Heading3"/>
      </w:pPr>
      <w:r>
        <w:t>2.1 The Fundamental Technique Difference from Amalgam: No Condensation Force</w:t>
      </w:r>
    </w:p>
    <w:p>
      <w:pPr>
        <w:spacing w:after="120"/>
      </w:pPr>
      <w:r>
        <w:rPr>
          <w:b/>
          <w:i w:val="0"/>
        </w:rPr>
        <w:t>Matrix selection and placement is described as one of the single most important steps in posterior composite restoration</w:t>
      </w:r>
      <w:r>
        <w:rPr>
          <w:b w:val="0"/>
          <w:i w:val="0"/>
        </w:rPr>
        <w:t xml:space="preserve">, precisely because posterior composite placement is </w:t>
      </w:r>
      <w:r>
        <w:rPr>
          <w:b w:val="0"/>
          <w:i/>
        </w:rPr>
        <w:t>almost totally dependent on the matrix's contour and position</w:t>
      </w:r>
      <w:r>
        <w:rPr>
          <w:b w:val="0"/>
          <w:i w:val="0"/>
        </w:rPr>
        <w:t xml:space="preserve"> to establish a correct proximal contact — unlike amalgam, which can be actively condensed against the matrix to help shape contact, composite cannot be packed with comparable force</w:t>
      </w:r>
      <w:r>
        <w:rPr>
          <w:b w:val="0"/>
          <w:i w:val="0"/>
        </w:rPr>
        <w:t xml:space="preserve"> [1, p.588]</w:t>
      </w:r>
      <w:r>
        <w:rPr>
          <w:b w:val="0"/>
          <w:i w:val="0"/>
        </w:rPr>
        <w:t xml:space="preserve">. This single structural fact is why matrix technique gets outsized emphasis for composite specifically: </w:t>
      </w:r>
      <w:r>
        <w:rPr>
          <w:b/>
          <w:i w:val="0"/>
        </w:rPr>
        <w:t>early wedging</w:t>
      </w:r>
      <w:r>
        <w:rPr>
          <w:b w:val="0"/>
          <w:i w:val="0"/>
        </w:rPr>
        <w:t xml:space="preserve"> (placed and progressively re-tightened during tooth preparation itself, not only at restoration time) achieves the tooth separation needed to compensate for matrix-band thickness, and the matrix band MUST be verified in absolute contact with the adjacent tooth before any composite is placed — there is no condensation step later to correct a poorly-adapted matrix</w:t>
      </w:r>
      <w:r>
        <w:rPr>
          <w:b w:val="0"/>
          <w:i w:val="0"/>
        </w:rPr>
        <w:t xml:space="preserve"> [1, p.588]</w:t>
      </w:r>
      <w:r>
        <w:rPr>
          <w:b w:val="0"/>
          <w:i w:val="0"/>
        </w:rPr>
        <w:t>.</w:t>
      </w:r>
    </w:p>
    <w:p>
      <w:pPr>
        <w:pStyle w:val="Heading3"/>
      </w:pPr>
      <w:r>
        <w:t>2.2 Matrix System Options and Trade-offs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Matrix type</w:t>
            </w:r>
          </w:p>
        </w:tc>
        <w:tc>
          <w:tcPr>
            <w:tcW w:type="dxa" w:w="2880"/>
          </w:tcPr>
          <w:p>
            <w:r>
              <w:rPr>
                <w:b/>
                <w:sz w:val="18"/>
              </w:rPr>
              <w:t>Best suited for</w:t>
            </w:r>
          </w:p>
        </w:tc>
        <w:tc>
          <w:tcPr>
            <w:tcW w:type="dxa" w:w="2880"/>
          </w:tcPr>
          <w:p>
            <w:r>
              <w:rPr>
                <w:b/>
                <w:sz w:val="18"/>
              </w:rPr>
              <w:t>Key trade-off</w:t>
            </w:r>
          </w:p>
        </w:tc>
      </w:tr>
      <w:tr>
        <w:tc>
          <w:tcPr>
            <w:tcW w:type="dxa" w:w="2880"/>
          </w:tcPr>
          <w:p>
            <w:r>
              <w:rPr>
                <w:sz w:val="18"/>
              </w:rPr>
              <w:t>Ultrathin metal matrix (e.g., HO Bands in a Tofflemire retainer)</w:t>
            </w:r>
          </w:p>
        </w:tc>
        <w:tc>
          <w:tcPr>
            <w:tcW w:type="dxa" w:w="2880"/>
          </w:tcPr>
          <w:p>
            <w:r>
              <w:rPr>
                <w:sz w:val="18"/>
              </w:rPr>
              <w:t>General Class II use, especially with more viscous/packable composite</w:t>
            </w:r>
          </w:p>
        </w:tc>
        <w:tc>
          <w:tcPr>
            <w:tcW w:type="dxa" w:w="2880"/>
          </w:tcPr>
          <w:p>
            <w:r>
              <w:rPr>
                <w:sz w:val="18"/>
              </w:rPr>
              <w:t>Thinner than standard metal/polyester, contours well; offers real resistance to condensation force, unlike polyester</w:t>
            </w:r>
          </w:p>
        </w:tc>
      </w:tr>
      <w:tr>
        <w:tc>
          <w:tcPr>
            <w:tcW w:type="dxa" w:w="2880"/>
          </w:tcPr>
          <w:p>
            <w:r>
              <w:rPr>
                <w:sz w:val="18"/>
              </w:rPr>
              <w:t>Tofflemire retainer, two-surface (MOD) prep</w:t>
            </w:r>
          </w:p>
        </w:tc>
        <w:tc>
          <w:tcPr>
            <w:tcW w:type="dxa" w:w="2880"/>
          </w:tcPr>
          <w:p>
            <w:r>
              <w:rPr>
                <w:sz w:val="18"/>
              </w:rPr>
              <w:t>Two-surface preparations</w:t>
            </w:r>
          </w:p>
        </w:tc>
        <w:tc>
          <w:tcPr>
            <w:tcW w:type="dxa" w:w="2880"/>
          </w:tcPr>
          <w:p>
            <w:r>
              <w:rPr>
                <w:sz w:val="18"/>
              </w:rPr>
              <w:t>Must be wedged to compensate for TWO matrix-band thicknesses simultaneously (the band wraps both proximal surfaces)</w:t>
            </w:r>
          </w:p>
        </w:tc>
      </w:tr>
      <w:tr>
        <w:tc>
          <w:tcPr>
            <w:tcW w:type="dxa" w:w="2880"/>
          </w:tcPr>
          <w:p>
            <w:r>
              <w:rPr>
                <w:sz w:val="18"/>
              </w:rPr>
              <w:t>Customized compound-supported metal matrix</w:t>
            </w:r>
          </w:p>
        </w:tc>
        <w:tc>
          <w:tcPr>
            <w:tcW w:type="dxa" w:w="2880"/>
          </w:tcPr>
          <w:p>
            <w:r>
              <w:rPr>
                <w:sz w:val="18"/>
              </w:rPr>
              <w:t>Two-surface (single proximal box) preparations specifically</w:t>
            </w:r>
          </w:p>
        </w:tc>
        <w:tc>
          <w:tcPr>
            <w:tcW w:type="dxa" w:w="2880"/>
          </w:tcPr>
          <w:p>
            <w:r>
              <w:rPr>
                <w:sz w:val="18"/>
              </w:rPr>
              <w:t>Easier to achieve good contact since the wedge only compensates for ONE matrix thickness; requires green-stick compound cones for stabilization</w:t>
            </w:r>
          </w:p>
        </w:tc>
      </w:tr>
      <w:tr>
        <w:tc>
          <w:tcPr>
            <w:tcW w:type="dxa" w:w="2880"/>
          </w:tcPr>
          <w:p>
            <w:r>
              <w:rPr>
                <w:sz w:val="18"/>
              </w:rPr>
              <w:t>Clear polyester matrix</w:t>
            </w:r>
          </w:p>
        </w:tc>
        <w:tc>
          <w:tcPr>
            <w:tcW w:type="dxa" w:w="2880"/>
          </w:tcPr>
          <w:p>
            <w:r>
              <w:rPr>
                <w:sz w:val="18"/>
              </w:rPr>
              <w:t>Very small Class II preparations only</w:t>
            </w:r>
          </w:p>
        </w:tc>
        <w:tc>
          <w:tcPr>
            <w:tcW w:type="dxa" w:w="2880"/>
          </w:tcPr>
          <w:p>
            <w:r>
              <w:rPr>
                <w:sz w:val="18"/>
              </w:rPr>
              <w:t>Thicker than metal (needs firmer wedging to compensate); NOT recommended for larger restorations — contours less well AND gives inadequate resistance to condensation force with viscous composite</w:t>
            </w:r>
          </w:p>
        </w:tc>
      </w:tr>
      <w:tr>
        <w:tc>
          <w:tcPr>
            <w:tcW w:type="dxa" w:w="2880"/>
          </w:tcPr>
          <w:p>
            <w:r>
              <w:rPr>
                <w:sz w:val="18"/>
              </w:rPr>
              <w:t>Sectional matrix + separator ring (bitine ring)</w:t>
            </w:r>
          </w:p>
        </w:tc>
        <w:tc>
          <w:tcPr>
            <w:tcW w:type="dxa" w:w="2880"/>
          </w:tcPr>
          <w:p>
            <w:r>
              <w:rPr>
                <w:sz w:val="18"/>
              </w:rPr>
              <w:t>Simplified proximal-contact establishment; increasingly popular</w:t>
            </w:r>
          </w:p>
        </w:tc>
        <w:tc>
          <w:tcPr>
            <w:tcW w:type="dxa" w:w="2880"/>
          </w:tcPr>
          <w:p>
            <w:r>
              <w:rPr>
                <w:sz w:val="18"/>
              </w:rPr>
              <w:t>Ring itself provides additional separation force during insertion; careless use on wide faciolingual preparations can deform the band via the ring prongs, producing a poor contour — requires careful application, not a fully automatic fix</w:t>
            </w:r>
          </w:p>
        </w:tc>
      </w:tr>
    </w:tbl>
    <w:p>
      <w:r>
        <w:rPr>
          <w:i/>
          <w:sz w:val="18"/>
        </w:rPr>
        <w:t>Source: [1, p.588-591].</w:t>
      </w:r>
    </w:p>
    <w:p/>
    <w:p>
      <w:pPr>
        <w:pStyle w:val="Heading3"/>
      </w:pPr>
      <w:r>
        <w:t>2.3 Practical Matrix Techniques</w:t>
      </w:r>
    </w:p>
    <w:p>
      <w:pPr>
        <w:pStyle w:val="ListBullet"/>
        <w:spacing w:after="60"/>
      </w:pPr>
      <w:r>
        <w:rPr>
          <w:b/>
          <w:i w:val="0"/>
        </w:rPr>
        <w:t>Burnishing:</w:t>
      </w:r>
      <w:r>
        <w:rPr>
          <w:b w:val="0"/>
          <w:i w:val="0"/>
        </w:rPr>
        <w:t xml:space="preserve"> metal matrix bands should be burnished on a paper pad before placement, to impart proper proximal contour — identical in principle to burnishing an amalgam matrix.</w:t>
      </w:r>
    </w:p>
    <w:p>
      <w:pPr>
        <w:pStyle w:val="ListBullet"/>
        <w:spacing w:after="60"/>
      </w:pPr>
      <w:r>
        <w:rPr>
          <w:b/>
          <w:i w:val="0"/>
        </w:rPr>
        <w:t>The “tinner's joint” technique:</w:t>
      </w:r>
      <w:r>
        <w:rPr>
          <w:b w:val="0"/>
          <w:i w:val="0"/>
        </w:rPr>
        <w:t xml:space="preserve"> where a Tofflemire band gapes excessively at the lingual margin (often due to tooth contour), the lingual portion can be cinched together tightly above the tooth's height of contour using No. 110 pliers, then folded to one side with a large amalgam condenser — closing this gap saves significant contouring/finishing time later.</w:t>
      </w:r>
    </w:p>
    <w:p>
      <w:pPr>
        <w:pStyle w:val="ListBullet"/>
        <w:spacing w:after="60"/>
      </w:pPr>
      <w:r>
        <w:rPr>
          <w:b/>
          <w:i w:val="0"/>
        </w:rPr>
        <w:t>Sequencing with etch/prime/bond:</w:t>
      </w:r>
      <w:r>
        <w:rPr>
          <w:b w:val="0"/>
          <w:i w:val="0"/>
        </w:rPr>
        <w:t xml:space="preserve"> the matrix may be placed before or after etching/priming, but is generally applied BEFORE, per this source's stated preference.</w:t>
      </w:r>
    </w:p>
    <w:p>
      <w:pPr>
        <w:spacing w:after="120"/>
      </w:pPr>
      <w:r>
        <w:rPr>
          <w:b w:val="0"/>
          <w:i w:val="0"/>
        </w:rPr>
        <w:t>Source: [1, p.589].</w:t>
      </w:r>
    </w:p>
    <w:p>
      <w:pPr>
        <w:pStyle w:val="Heading3"/>
      </w:pPr>
      <w:r>
        <w:t>2.4 Insertion, Curing, and Contact Verification</w:t>
      </w:r>
    </w:p>
    <w:p>
      <w:pPr>
        <w:spacing w:after="120"/>
      </w:pPr>
      <w:r>
        <w:rPr>
          <w:b w:val="0"/>
          <w:i w:val="0"/>
        </w:rPr>
        <w:t>Composite is inserted and cured in small increments (&lt;2mm each, cured before the next is placed) until the preparation is slightly overfilled, consistent with the general shrinkage-management principles from Sub-Module 4.1</w:t>
      </w:r>
      <w:r>
        <w:rPr>
          <w:b w:val="0"/>
          <w:i w:val="0"/>
        </w:rPr>
        <w:t xml:space="preserve"> [1, p.591]</w:t>
      </w:r>
      <w:r>
        <w:rPr>
          <w:b w:val="0"/>
          <w:i w:val="0"/>
        </w:rPr>
        <w:t>. A practical dispensing caution: light-cured composite should not be dispensed until immediately ready for use, since ambient operatory light itself can begin premature polymerization</w:t>
      </w:r>
      <w:r>
        <w:rPr>
          <w:b w:val="0"/>
          <w:i w:val="0"/>
        </w:rPr>
        <w:t xml:space="preserve"> [1, p.591]</w:t>
      </w:r>
      <w:r>
        <w:rPr>
          <w:b w:val="0"/>
          <w:i w:val="0"/>
        </w:rPr>
        <w:t xml:space="preserve"> — the same oxygen-inhibition/premature-cure risk already covered generically in Sub-Module 4.1, now specifically flagged for the posterior composite dispensing step.</w:t>
      </w:r>
    </w:p>
    <w:p>
      <w:pPr>
        <w:spacing w:after="120"/>
      </w:pPr>
      <w:r>
        <w:rPr>
          <w:b w:val="0"/>
          <w:i w:val="0"/>
        </w:rPr>
        <w:t xml:space="preserve">For restorations involving both proximal surfaces of the same tooth in one visit, the </w:t>
      </w:r>
      <w:r>
        <w:rPr>
          <w:b/>
          <w:i w:val="0"/>
        </w:rPr>
        <w:t>wedge alternation technique</w:t>
      </w:r>
      <w:r>
        <w:rPr>
          <w:b w:val="0"/>
          <w:i w:val="0"/>
        </w:rPr>
        <w:t xml:space="preserve"> — restoring one proximal surface completely before beginning the other — is recommended rather than attempting both simultaneously, to avoid the added complexity of managing two unstable matrix/wedge systems and two developing contacts at once</w:t>
      </w:r>
      <w:r>
        <w:rPr>
          <w:b w:val="0"/>
          <w:i w:val="0"/>
        </w:rPr>
        <w:t xml:space="preserve"> [2, p.587]</w:t>
      </w:r>
      <w:r>
        <w:rPr>
          <w:b w:val="0"/>
          <w:i w:val="0"/>
        </w:rPr>
        <w:t>.</w:t>
      </w:r>
    </w:p>
    <w:p>
      <w:r>
        <w:br w:type="page"/>
      </w:r>
    </w:p>
    <w:p>
      <w:pPr>
        <w:pStyle w:val="Heading1"/>
      </w:pPr>
      <w:r>
        <w:t>Quick-Revision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Key take-away</w:t>
            </w:r>
          </w:p>
        </w:tc>
        <w:tc>
          <w:tcPr>
            <w:tcW w:type="dxa" w:w="2880"/>
          </w:tcPr>
          <w:p>
            <w:r>
              <w:rPr>
                <w:b/>
                <w:sz w:val="18"/>
              </w:rPr>
              <w:t>Source</w:t>
            </w:r>
          </w:p>
        </w:tc>
      </w:tr>
      <w:tr>
        <w:tc>
          <w:tcPr>
            <w:tcW w:type="dxa" w:w="2880"/>
          </w:tcPr>
          <w:p>
            <w:r>
              <w:rPr>
                <w:sz w:val="18"/>
              </w:rPr>
              <w:t>Why matrix technique matters more for composite than amalgam</w:t>
            </w:r>
          </w:p>
        </w:tc>
        <w:tc>
          <w:tcPr>
            <w:tcW w:type="dxa" w:w="2880"/>
          </w:tcPr>
          <w:p>
            <w:r>
              <w:rPr>
                <w:sz w:val="18"/>
              </w:rPr>
              <w:t>Composite CANNOT be condensed against the matrix like amalgam — the matrix's own contour/position is almost the sole determinant of proximal contact quality</w:t>
            </w:r>
          </w:p>
        </w:tc>
        <w:tc>
          <w:tcPr>
            <w:tcW w:type="dxa" w:w="2880"/>
          </w:tcPr>
          <w:p>
            <w:r>
              <w:rPr>
                <w:sz w:val="18"/>
              </w:rPr>
              <w:t>[1, p.588]</w:t>
            </w:r>
          </w:p>
        </w:tc>
      </w:tr>
      <w:tr>
        <w:tc>
          <w:tcPr>
            <w:tcW w:type="dxa" w:w="2880"/>
          </w:tcPr>
          <w:p>
            <w:r>
              <w:rPr>
                <w:sz w:val="18"/>
              </w:rPr>
              <w:t>Early wedging purpose</w:t>
            </w:r>
          </w:p>
        </w:tc>
        <w:tc>
          <w:tcPr>
            <w:tcW w:type="dxa" w:w="2880"/>
          </w:tcPr>
          <w:p>
            <w:r>
              <w:rPr>
                <w:sz w:val="18"/>
              </w:rPr>
              <w:t>Placed and re-tightened DURING tooth preparation (not just at restoration time) to achieve separation compensating for matrix-band thickness</w:t>
            </w:r>
          </w:p>
        </w:tc>
        <w:tc>
          <w:tcPr>
            <w:tcW w:type="dxa" w:w="2880"/>
          </w:tcPr>
          <w:p>
            <w:r>
              <w:rPr>
                <w:sz w:val="18"/>
              </w:rPr>
              <w:t>[1, p.588]</w:t>
            </w:r>
          </w:p>
        </w:tc>
      </w:tr>
      <w:tr>
        <w:tc>
          <w:tcPr>
            <w:tcW w:type="dxa" w:w="2880"/>
          </w:tcPr>
          <w:p>
            <w:r>
              <w:rPr>
                <w:sz w:val="18"/>
              </w:rPr>
              <w:t>Best matrix for 2-surface prep</w:t>
            </w:r>
          </w:p>
        </w:tc>
        <w:tc>
          <w:tcPr>
            <w:tcW w:type="dxa" w:w="2880"/>
          </w:tcPr>
          <w:p>
            <w:r>
              <w:rPr>
                <w:sz w:val="18"/>
              </w:rPr>
              <w:t>Customized compound-supported matrix — only ONE band thickness to compensate for, vs. Tofflemire's two</w:t>
            </w:r>
          </w:p>
        </w:tc>
        <w:tc>
          <w:tcPr>
            <w:tcW w:type="dxa" w:w="2880"/>
          </w:tcPr>
          <w:p>
            <w:r>
              <w:rPr>
                <w:sz w:val="18"/>
              </w:rPr>
              <w:t>[1, p.590]</w:t>
            </w:r>
          </w:p>
        </w:tc>
      </w:tr>
      <w:tr>
        <w:tc>
          <w:tcPr>
            <w:tcW w:type="dxa" w:w="2880"/>
          </w:tcPr>
          <w:p>
            <w:r>
              <w:rPr>
                <w:sz w:val="18"/>
              </w:rPr>
              <w:t>Clear polyester matrix limitation</w:t>
            </w:r>
          </w:p>
        </w:tc>
        <w:tc>
          <w:tcPr>
            <w:tcW w:type="dxa" w:w="2880"/>
          </w:tcPr>
          <w:p>
            <w:r>
              <w:rPr>
                <w:sz w:val="18"/>
              </w:rPr>
              <w:t>Not recommended for larger restorations — poor contouring AND inadequate resistance to condensation with viscous composite</w:t>
            </w:r>
          </w:p>
        </w:tc>
        <w:tc>
          <w:tcPr>
            <w:tcW w:type="dxa" w:w="2880"/>
          </w:tcPr>
          <w:p>
            <w:r>
              <w:rPr>
                <w:sz w:val="18"/>
              </w:rPr>
              <w:t>[1, p.591]</w:t>
            </w:r>
          </w:p>
        </w:tc>
      </w:tr>
      <w:tr>
        <w:tc>
          <w:tcPr>
            <w:tcW w:type="dxa" w:w="2880"/>
          </w:tcPr>
          <w:p>
            <w:r>
              <w:rPr>
                <w:sz w:val="18"/>
              </w:rPr>
              <w:t>Sectional matrix/bitine ring caution</w:t>
            </w:r>
          </w:p>
        </w:tc>
        <w:tc>
          <w:tcPr>
            <w:tcW w:type="dxa" w:w="2880"/>
          </w:tcPr>
          <w:p>
            <w:r>
              <w:rPr>
                <w:sz w:val="18"/>
              </w:rPr>
              <w:t>Simplifies contact establishment but can DEFORM the band on wide faciolingual preps if not applied carefully</w:t>
            </w:r>
          </w:p>
        </w:tc>
        <w:tc>
          <w:tcPr>
            <w:tcW w:type="dxa" w:w="2880"/>
          </w:tcPr>
          <w:p>
            <w:r>
              <w:rPr>
                <w:sz w:val="18"/>
              </w:rPr>
              <w:t>[1, p.591]</w:t>
            </w:r>
          </w:p>
        </w:tc>
      </w:tr>
      <w:tr>
        <w:tc>
          <w:tcPr>
            <w:tcW w:type="dxa" w:w="2880"/>
          </w:tcPr>
          <w:p>
            <w:r>
              <w:rPr>
                <w:sz w:val="18"/>
              </w:rPr>
              <w:t>Class I dentin-then-enamel rule</w:t>
            </w:r>
          </w:p>
        </w:tc>
        <w:tc>
          <w:tcPr>
            <w:tcW w:type="dxa" w:w="2880"/>
          </w:tcPr>
          <w:p>
            <w:r>
              <w:rPr>
                <w:sz w:val="18"/>
              </w:rPr>
              <w:t>Dentin-shade increments must NEVER reach the cavosurface margin — leave room for the final enamel-shade layer to cover it</w:t>
            </w:r>
          </w:p>
        </w:tc>
        <w:tc>
          <w:tcPr>
            <w:tcW w:type="dxa" w:w="2880"/>
          </w:tcPr>
          <w:p>
            <w:r>
              <w:rPr>
                <w:sz w:val="18"/>
              </w:rPr>
              <w:t>[2, p.587-588]</w:t>
            </w:r>
          </w:p>
        </w:tc>
      </w:tr>
      <w:tr>
        <w:tc>
          <w:tcPr>
            <w:tcW w:type="dxa" w:w="2880"/>
          </w:tcPr>
          <w:p>
            <w:r>
              <w:rPr>
                <w:sz w:val="18"/>
              </w:rPr>
              <w:t>Reducing shrinkage stress on undermined enamel</w:t>
            </w:r>
          </w:p>
        </w:tc>
        <w:tc>
          <w:tcPr>
            <w:tcW w:type="dxa" w:w="2880"/>
          </w:tcPr>
          <w:p>
            <w:r>
              <w:rPr>
                <w:sz w:val="18"/>
              </w:rPr>
              <w:t>Cure those areas FIRST, directing initial light THROUGH the tooth structure to reduce early light intensity reaching the composite</w:t>
            </w:r>
          </w:p>
        </w:tc>
        <w:tc>
          <w:tcPr>
            <w:tcW w:type="dxa" w:w="2880"/>
          </w:tcPr>
          <w:p>
            <w:r>
              <w:rPr>
                <w:sz w:val="18"/>
              </w:rPr>
              <w:t>[2, p.587]</w:t>
            </w:r>
          </w:p>
        </w:tc>
      </w:tr>
      <w:tr>
        <w:tc>
          <w:tcPr>
            <w:tcW w:type="dxa" w:w="2880"/>
          </w:tcPr>
          <w:p>
            <w:r>
              <w:rPr>
                <w:sz w:val="18"/>
              </w:rPr>
              <w:t>Occlusal carving approach</w:t>
            </w:r>
          </w:p>
        </w:tc>
        <w:tc>
          <w:tcPr>
            <w:tcW w:type="dxa" w:w="2880"/>
          </w:tcPr>
          <w:p>
            <w:r>
              <w:rPr>
                <w:sz w:val="18"/>
              </w:rPr>
              <w:t>Restore ONE CUSP AT A TIME using probe/conical nonstick instruments, using the remaining tooth structure itself as a shaping guide</w:t>
            </w:r>
          </w:p>
        </w:tc>
        <w:tc>
          <w:tcPr>
            <w:tcW w:type="dxa" w:w="2880"/>
          </w:tcPr>
          <w:p>
            <w:r>
              <w:rPr>
                <w:sz w:val="18"/>
              </w:rPr>
              <w:t>[2, p.588]</w:t>
            </w:r>
          </w:p>
        </w:tc>
      </w:tr>
      <w:tr>
        <w:tc>
          <w:tcPr>
            <w:tcW w:type="dxa" w:w="2880"/>
          </w:tcPr>
          <w:p>
            <w:r>
              <w:rPr>
                <w:sz w:val="18"/>
              </w:rPr>
              <w:t>Two-surface same-visit restorations</w:t>
            </w:r>
          </w:p>
        </w:tc>
        <w:tc>
          <w:tcPr>
            <w:tcW w:type="dxa" w:w="2880"/>
          </w:tcPr>
          <w:p>
            <w:r>
              <w:rPr>
                <w:sz w:val="18"/>
              </w:rPr>
              <w:t>Use WEDGE ALTERNATION — complete one proximal surface fully before starting the other, not both simultaneously</w:t>
            </w:r>
          </w:p>
        </w:tc>
        <w:tc>
          <w:tcPr>
            <w:tcW w:type="dxa" w:w="2880"/>
          </w:tcPr>
          <w:p>
            <w:r>
              <w:rPr>
                <w:sz w:val="18"/>
              </w:rPr>
              <w:t>[2, p.587]</w:t>
            </w:r>
          </w:p>
        </w:tc>
      </w:tr>
    </w:tbl>
    <w:p/>
    <w:p>
      <w:r>
        <w:br w:type="page"/>
      </w:r>
    </w:p>
    <w:p>
      <w:pPr>
        <w:pStyle w:val="Heading1"/>
      </w:pPr>
      <w:r>
        <w:t>References (Vancouver Style)</w:t>
      </w:r>
    </w:p>
    <w:p>
      <w:pPr>
        <w:spacing w:after="120"/>
      </w:pPr>
      <w:r>
        <w:rPr>
          <w:b w:val="0"/>
          <w:i w:val="0"/>
        </w:rPr>
        <w:t>Page numbers refer to the page of the cited source, as printed in that source, on which the statement appears.</w:t>
      </w:r>
    </w:p>
    <w:p>
      <w:pPr>
        <w:spacing w:after="120"/>
        <w:ind w:left="432" w:hanging="432"/>
      </w:pPr>
      <w:r>
        <w:rPr>
          <w:sz w:val="20"/>
        </w:rPr>
        <w:t xml:space="preserve">1. </w:t>
      </w:r>
      <w:r>
        <w:rPr>
          <w:sz w:val="20"/>
        </w:rPr>
        <w:t>Roberson TM, Heymann HO, Swift EJ Jr, editors. Sturdevant's Art and Science of Operative Dentistry. 5th ed. St. Louis: Mosby (Elsevier); 2006. Chapter 13, “Class I, II, and VI Direct Composite and Other Tooth-Colored Restorations,” p.569, 587-591.</w:t>
      </w:r>
    </w:p>
    <w:p>
      <w:pPr>
        <w:spacing w:after="120"/>
        <w:ind w:left="432" w:hanging="432"/>
      </w:pPr>
      <w:r>
        <w:rPr>
          <w:sz w:val="20"/>
        </w:rPr>
        <w:t xml:space="preserve">2. </w:t>
      </w:r>
      <w:r>
        <w:rPr>
          <w:sz w:val="20"/>
        </w:rPr>
        <w:t>Torres CRG, editor. Modern Operative Dentistry: Principles for Clinical Practice. Cham: Springer Nature Switzerland; 2020. Chapter 15, “Composite Restoration on Posterior Teeth,” p.586-588.</w:t>
      </w:r>
    </w:p>
    <w:p>
      <w:pPr>
        <w:spacing w:after="120"/>
        <w:ind w:left="432" w:hanging="432"/>
      </w:pPr>
      <w:r>
        <w:rPr>
          <w:sz w:val="20"/>
        </w:rPr>
        <w:t xml:space="preserve">3. </w:t>
      </w:r>
      <w:r>
        <w:rPr>
          <w:sz w:val="20"/>
        </w:rPr>
        <w:t>Summitt JB, et al. Class 1 and Class 2 Resin Composite Restorations. In: Hilton TJ, Ferracane JL, Broome JC, editors. Summitt's Fundamentals of Operative Dentistry. 4th ed. Chicago: Quintessence Publishing. p.589-591.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