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36"/>
        </w:rPr>
        <w:t>SUB-MODULE 4.2b: CLASS-SPECIFIC COMPOSITE PROTOCOLS — CLASSES III, IV &amp; V</w:t>
      </w:r>
    </w:p>
    <w:p/>
    <w:p>
      <w:pPr>
        <w:jc w:val="center"/>
      </w:pPr>
      <w:r>
        <w:rPr>
          <w:i/>
          <w:sz w:val="26"/>
        </w:rPr>
        <w:t>Compiled Study Notes — Organized by Topic</w:t>
      </w:r>
    </w:p>
    <w:p>
      <w:pPr>
        <w:jc w:val="center"/>
      </w:pPr>
      <w:r>
        <w:rPr>
          <w:i/>
          <w:sz w:val="24"/>
        </w:rPr>
        <w:t>Anterior proximal, incisal-angle, and cervical composite technique,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is the second half (Classes III, IV, and V) of Sub-Module 4.2, companion to 4.2a (Classes I and II). </w:t>
      </w:r>
      <w:r>
        <w:rPr>
          <w:b/>
          <w:i w:val="0"/>
        </w:rPr>
        <w:t>Scope boundary:</w:t>
      </w:r>
      <w:r>
        <w:rPr>
          <w:b w:val="0"/>
          <w:i w:val="0"/>
        </w:rPr>
        <w:t xml:space="preserve"> cavity design/access approach (lingual vs. facial for Class III) was already covered in Sub-Modules 2.3 and 2.2; general placement technique (shrinkage management, incremental principles, shade selection, finishing) in 4.1. This document focuses on what is genuinely class-specific: matrix technique for anterior teeth, incisal-angle-specific restoration, and cervical/Class V isolation and material-selection technique.</w:t>
      </w:r>
    </w:p>
    <w:p>
      <w:pPr>
        <w:spacing w:after="120"/>
      </w:pPr>
      <w:r>
        <w:rPr>
          <w:b/>
          <w:i w:val="0"/>
        </w:rPr>
        <w:t>Sources used in this document:</w:t>
      </w:r>
    </w:p>
    <w:p>
      <w:pPr>
        <w:pStyle w:val="ListBullet"/>
        <w:spacing w:after="60"/>
      </w:pPr>
      <w:r>
        <w:rPr>
          <w:b w:val="0"/>
          <w:i w:val="0"/>
        </w:rPr>
        <w:t xml:space="preserve">Roberson TM, Heymann HO, Swift EJ Jr, editors. Sturdevant's Art and Science of Operative Dentistry. 5th ed. St. Louis: Mosby (Elsevier); 2006. Chapter 12, “Class III, IV, and V Direct Composite and Other Tooth-Colored Restorations,” p.550, 553-554, 556-558. </w:t>
      </w:r>
      <w:r>
        <w:rPr>
          <w:b w:val="0"/>
          <w:i/>
        </w:rPr>
        <w:t>(standardised textbook — core explanation, especially the custom lingual matrix technique for Class IV)</w:t>
      </w:r>
    </w:p>
    <w:p>
      <w:pPr>
        <w:pStyle w:val="ListBullet"/>
        <w:spacing w:after="60"/>
      </w:pPr>
      <w:r>
        <w:rPr>
          <w:b w:val="0"/>
          <w:i w:val="0"/>
        </w:rPr>
        <w:t xml:space="preserve">Torres CRG, editor. Modern Operative Dentistry: Principles for Clinical Practice. Cham: Springer Nature Switzerland; 2020. Chapter 14, “Composite Restoration on Anterior Teeth,” p.496-497, 499-500, 507. </w:t>
      </w:r>
      <w:r>
        <w:rPr>
          <w:b w:val="0"/>
          <w:i/>
        </w:rPr>
        <w:t>(standardised textbook — the cervical-lesion restore/don't-restore decision framework, isolation technique, and material selection for Class V)</w:t>
      </w:r>
    </w:p>
    <w:p>
      <w:r>
        <w:rPr>
          <w:b/>
        </w:rPr>
        <w:t xml:space="preserve">Revision note: </w:t>
      </w:r>
      <w:r>
        <w:t>this document originally omitted Summitt's and Marzouk's, despite both being standing core texts with directly relevant content. Summitt's has its own dedicated “Direct Anterior Restorations” chapter (source [3]), added in new Section 1.1 (real 5-year longevity data, a disadvantages list, and dispensing-format practicalities). Marzouk's composite chapter was missed because an earlier session had cached only a small partial extract of the book locally; the canonical full OCR'd text (37,170 lines, confirmed against the source in the user's library) was re-searched and its matrix-technique content (source [4]) added in new Section 2.5 — presented explicitly as historical/alternative technique, since Marzouk's 1985 chairside methods predate and have generally been superseded by the techniques in Section 2.3.</w:t>
      </w:r>
    </w:p>
    <w:p>
      <w:pPr>
        <w:pStyle w:val="ListBullet"/>
      </w:pPr>
      <w:r>
        <w:t>Vargas MA, et al. Direct Anterior Restorations. In: Summitt's Fundamentals of Operative Dentistry. 4th ed. (standardised textbook — Section 1.1, real longevity data and practical dispensing content)</w:t>
      </w:r>
    </w:p>
    <w:p>
      <w:pPr>
        <w:pStyle w:val="ListBullet"/>
      </w:pPr>
      <w:r>
        <w:t>Marzouk MA, Simonton AL, Gross RD. Operative Dentistry: Modern Theory and Practice. 1985. (standardised textbook — Section 2.5, historical matrix techniques for Class IV/V)</w:t>
      </w:r>
    </w:p>
    <w:p>
      <w:pPr>
        <w:spacing w:after="120"/>
      </w:pPr>
      <w:r>
        <w:rPr>
          <w:b/>
          <w:i w:val="0"/>
        </w:rPr>
        <w:t>Cross-referenced, not repeated:</w:t>
      </w:r>
    </w:p>
    <w:p>
      <w:pPr>
        <w:pStyle w:val="ListBullet"/>
        <w:spacing w:after="60"/>
      </w:pPr>
      <w:r>
        <w:rPr>
          <w:b w:val="0"/>
          <w:i w:val="0"/>
        </w:rPr>
        <w:t>Sub-Module 2.2 — chemomechanical/general caries removal already covered</w:t>
      </w:r>
    </w:p>
    <w:p>
      <w:pPr>
        <w:pStyle w:val="ListBullet"/>
        <w:spacing w:after="60"/>
      </w:pPr>
      <w:r>
        <w:rPr>
          <w:b w:val="0"/>
          <w:i w:val="0"/>
        </w:rPr>
        <w:t>Sub-Module 2.3 — Class III lingual-vs-facial access decision (Summitt's), outline form geometry</w:t>
      </w:r>
    </w:p>
    <w:p>
      <w:pPr>
        <w:pStyle w:val="ListBullet"/>
        <w:spacing w:after="60"/>
      </w:pPr>
      <w:r>
        <w:rPr>
          <w:b w:val="0"/>
          <w:i w:val="0"/>
        </w:rPr>
        <w:t>Sub-Module 4.1 — shrinkage/C-factor management, shade selection technique, finishing/polishing</w:t>
      </w:r>
    </w:p>
    <w:p>
      <w:pPr>
        <w:pStyle w:val="ListBullet"/>
        <w:spacing w:after="60"/>
      </w:pPr>
      <w:r>
        <w:rPr>
          <w:b w:val="0"/>
          <w:i w:val="0"/>
        </w:rPr>
        <w:t>Sub-Module 6.4 (future) — toothwear/NCCL etiology (erosion, attrition, abrasion, abfraction) is a diagnosis topic, not restorative technique, and is deferred there rather than covered here</w:t>
      </w:r>
    </w:p>
    <w:p>
      <w:r>
        <w:br w:type="page"/>
      </w:r>
    </w:p>
    <w:p>
      <w:pPr>
        <w:pStyle w:val="Heading1"/>
      </w:pPr>
      <w:r>
        <w:t>Sub-Module 4.2b: Class III, IV &amp; V Composite Restoration Protocols</w:t>
      </w:r>
    </w:p>
    <w:p>
      <w:pPr>
        <w:pStyle w:val="Heading2"/>
      </w:pPr>
      <w:r>
        <w:t>1. Class III Composite Restorations</w:t>
      </w:r>
    </w:p>
    <w:p>
      <w:pPr>
        <w:spacing w:after="120"/>
      </w:pPr>
      <w:r>
        <w:rPr>
          <w:b w:val="0"/>
          <w:i w:val="0"/>
        </w:rPr>
        <w:t>The lingual-vs-facial access decision was already covered in Sub-Module 2.3 (Summitt's). This section adds indication/material framing specific to Class III not covered there.</w:t>
      </w:r>
    </w:p>
    <w:p>
      <w:pPr>
        <w:spacing w:after="120"/>
      </w:pPr>
      <w:r>
        <w:rPr>
          <w:b w:val="0"/>
          <w:i w:val="0"/>
        </w:rPr>
        <w:t>Almost all Class III restorations are appropriately restored with composite, provided the operating area can be adequately isolated and the preparation has all-enamel margins; the material qualities that make composite the material of choice here are esthetics plus the general bonding-derived tooth-conservation benefits already covered in Sub-Module 3.1</w:t>
      </w:r>
      <w:r>
        <w:rPr>
          <w:b w:val="0"/>
          <w:i w:val="0"/>
        </w:rPr>
        <w:t xml:space="preserve"> [1, p.550]</w:t>
      </w:r>
      <w:r>
        <w:rPr>
          <w:b w:val="0"/>
          <w:i w:val="0"/>
        </w:rPr>
        <w:t>.</w:t>
      </w:r>
    </w:p>
    <w:p>
      <w:pPr>
        <w:spacing w:after="120"/>
      </w:pPr>
      <w:r>
        <w:rPr>
          <w:b w:val="0"/>
          <w:i w:val="0"/>
        </w:rPr>
        <w:t>Root-surface extension is the key contraindication-relevant factor: where a Class III extends onto the root surface (losing marginal enamel), the same V-shaped contraction gap already described for Class I/II in Sub-Module 4.2a can form, since polymerization shrinkage force exceeds early dentin bond strength there — a resin-modified glass ionomer liner on the root-surface portion may reduce this gap/microleakage/recurrent-caries risk, at the operator's discretion</w:t>
      </w:r>
      <w:r>
        <w:rPr>
          <w:b w:val="0"/>
          <w:i w:val="0"/>
        </w:rPr>
        <w:t xml:space="preserve"> [1, p.550]</w:t>
      </w:r>
      <w:r>
        <w:rPr>
          <w:b w:val="0"/>
          <w:i w:val="0"/>
        </w:rPr>
        <w:t>. Even high-copper amalgam shows some initial marginal leakage, so this is a general problem of restorations extending subgingivally, not a composite-specific flaw — but it does mean any such extension demands the operator's most meticulous technique regardless of material chosen</w:t>
      </w:r>
      <w:r>
        <w:rPr>
          <w:b w:val="0"/>
          <w:i w:val="0"/>
        </w:rPr>
        <w:t xml:space="preserve"> [1, p.550]</w:t>
      </w:r>
      <w:r>
        <w:rPr>
          <w:b w:val="0"/>
          <w:i w:val="0"/>
        </w:rPr>
        <w:t>.</w:t>
      </w:r>
    </w:p>
    <w:p>
      <w:r>
        <w:br w:type="page"/>
      </w:r>
    </w:p>
    <w:p>
      <w:pPr>
        <w:pStyle w:val="Heading3"/>
      </w:pPr>
      <w:r>
        <w:t>1.1 Clinical Longevity and Practical Handling (Summitt's)</w:t>
      </w:r>
    </w:p>
    <w:p>
      <w:r>
        <w:rPr>
          <w:b/>
        </w:rPr>
        <w:t xml:space="preserve">Real longevity data: </w:t>
      </w:r>
      <w:r>
        <w:t>60-80% of all Class III and Class V restorations remain clinically acceptable at 5 years. Class IV restorations show consistently SHORTER longevity than Class III or V specifically because fractured anterior teeth restored this way are subjected to greater occlusal/functional stress. The most common reasons for repair/replacement across all three classes are marginal staining, surface discoloration, secondary caries, edge chipping in high-stress areas, and restoration fracture. The strongest predictors of survival are reported to be the individual practitioner, restoration location/size, patient age/caries risk, and the bonding substrate involved — i.e. operator skill is explicitly named as a leading survival variable, not just material choice.</w:t>
      </w:r>
      <w:r>
        <w:t xml:space="preserve"> [3, p.506-507]</w:t>
      </w:r>
    </w:p>
    <w:p>
      <w:r>
        <w:t>A concise, honest disadvantages list for anterior composite (worth holding alongside Sub-Module 3.1's general composite advantages): polymerization shrinkage; the isolation requirement for reliable bonding; lower wear resistance than ceramic; susceptibility to chipping; weaker bonding to dentin/root surfaces than to enamel; and the absence of any antibacterial property.</w:t>
      </w:r>
      <w:r>
        <w:t xml:space="preserve"> [3, p.507]</w:t>
      </w:r>
    </w:p>
    <w:p>
      <w:r>
        <w:t>Dispensing-format trade-off: syringe-packaged composite is cheaper, but unit-dose packaging reduces trapped air bubbles on insertion and simplifies infection control (single-use, no disinfection needed). A specific contamination risk with syringes: the barrel is typically opaque black specifically to block external light and prevent premature cure, so cutting/abrading the tip with a bladed instrument during dispensing can shed small dark plastic particles into the material — a genuine, easily-overlooked source of composite discoloration.</w:t>
      </w:r>
      <w:r>
        <w:t xml:space="preserve"> [3, p.508-509]</w:t>
      </w:r>
    </w:p>
    <w:p>
      <w:pPr>
        <w:pStyle w:val="Heading2"/>
      </w:pPr>
      <w:r>
        <w:t>2. Class IV Composite Restorations</w:t>
      </w:r>
    </w:p>
    <w:p>
      <w:pPr>
        <w:pStyle w:val="Heading3"/>
      </w:pPr>
      <w:r>
        <w:t>2.1 Why Preoperative Planning Matters More Here</w:t>
      </w:r>
    </w:p>
    <w:p>
      <w:pPr>
        <w:spacing w:after="120"/>
      </w:pPr>
      <w:r>
        <w:rPr>
          <w:b w:val="0"/>
          <w:i w:val="0"/>
        </w:rPr>
        <w:t>Occlusal assessment before beginning is described as even MORE important for Class IV than other classes, because it directly influences both preparation-margin placement (into non-contact areas where possible) and the retention/resistance-form features needed — heavy occlusion specifically requires more boxlike, resistance-form-heavy preparation geometry with wider bevels and possible groove retention</w:t>
      </w:r>
      <w:r>
        <w:rPr>
          <w:b w:val="0"/>
          <w:i w:val="0"/>
        </w:rPr>
        <w:t xml:space="preserve"> [1, p.550]</w:t>
      </w:r>
      <w:r>
        <w:rPr>
          <w:b w:val="0"/>
          <w:i w:val="0"/>
        </w:rPr>
        <w:t>. Shade selection is also harder here: large Class IV restorations often lack normal dentin coloration to match against, sometimes requiring separate translucent/opaque shade layers, or a microfill veneer over a hybrid-composite core specifically for improved esthetic blending</w:t>
      </w:r>
      <w:r>
        <w:rPr>
          <w:b w:val="0"/>
          <w:i w:val="0"/>
        </w:rPr>
        <w:t xml:space="preserve"> [1, p.550]</w:t>
      </w:r>
      <w:r>
        <w:rPr>
          <w:b w:val="0"/>
          <w:i w:val="0"/>
        </w:rPr>
        <w:t xml:space="preserve">. For large lesions/fractures, a </w:t>
      </w:r>
      <w:r>
        <w:rPr>
          <w:b/>
          <w:i w:val="0"/>
        </w:rPr>
        <w:t>preoperative impression</w:t>
      </w:r>
      <w:r>
        <w:rPr>
          <w:b w:val="0"/>
          <w:i w:val="0"/>
        </w:rPr>
        <w:t xml:space="preserve"> can be taken before treatment begins, specifically to serve as a template for developing the eventual restoration's contours — detailed in Section 2.3 below</w:t>
      </w:r>
      <w:r>
        <w:rPr>
          <w:b w:val="0"/>
          <w:i w:val="0"/>
        </w:rPr>
        <w:t xml:space="preserve"> [1, p.550]</w:t>
      </w:r>
      <w:r>
        <w:rPr>
          <w:b w:val="0"/>
          <w:i w:val="0"/>
        </w:rPr>
        <w:t>.</w:t>
      </w:r>
    </w:p>
    <w:p>
      <w:pPr>
        <w:pStyle w:val="Heading3"/>
      </w:pPr>
      <w:r>
        <w:t>2.2 Standard Matrix Technique and Its Real Limitation</w:t>
      </w:r>
    </w:p>
    <w:p>
      <w:pPr>
        <w:spacing w:after="120"/>
      </w:pPr>
      <w:r>
        <w:rPr>
          <w:b w:val="0"/>
          <w:i w:val="0"/>
        </w:rPr>
        <w:t>A polyester strip matrix is used for most Class IV preparations, but its flexibility genuinely makes control difficult — a real, acknowledged limitation, not a technique failure — which can result in an over- or under-contoured restoration, or an open contact, or both. Excess composite extruded incisally is a lesser problem, since it is easily removed during finishing</w:t>
      </w:r>
      <w:r>
        <w:rPr>
          <w:b w:val="0"/>
          <w:i w:val="0"/>
        </w:rPr>
        <w:t xml:space="preserve"> [1, p.553]</w:t>
      </w:r>
      <w:r>
        <w:rPr>
          <w:b w:val="0"/>
          <w:i w:val="0"/>
        </w:rPr>
        <w:t xml:space="preserve">. A specific correction technique: </w:t>
      </w:r>
      <w:r>
        <w:rPr>
          <w:b/>
          <w:i w:val="0"/>
        </w:rPr>
        <w:t>creasing (folding) the matrix at the lingual line angle</w:t>
      </w:r>
      <w:r>
        <w:rPr>
          <w:b w:val="0"/>
          <w:i w:val="0"/>
        </w:rPr>
        <w:t xml:space="preserve"> specifically helps prevent undercontouring/rounding at that exact area</w:t>
      </w:r>
      <w:r>
        <w:rPr>
          <w:b w:val="0"/>
          <w:i w:val="0"/>
        </w:rPr>
        <w:t xml:space="preserve"> [1, p.553]</w:t>
      </w:r>
      <w:r>
        <w:rPr>
          <w:b w:val="0"/>
          <w:i w:val="0"/>
        </w:rPr>
        <w:t>. Preformed plastic/celluloid crown forms are explicitly NOT recommended as a Class IV matrix — they are simply too thick for accurate contour control</w:t>
      </w:r>
      <w:r>
        <w:rPr>
          <w:b w:val="0"/>
          <w:i w:val="0"/>
        </w:rPr>
        <w:t xml:space="preserve"> [1, p.553]</w:t>
      </w:r>
      <w:r>
        <w:rPr>
          <w:b w:val="0"/>
          <w:i w:val="0"/>
        </w:rPr>
        <w:t>.</w:t>
      </w:r>
    </w:p>
    <w:p>
      <w:pPr>
        <w:pStyle w:val="Heading3"/>
      </w:pPr>
      <w:r>
        <w:t>2.3 The Custom Lingual Matrix Technique — A Distinctive, High-Value Method</w:t>
      </w:r>
    </w:p>
    <w:p>
      <w:pPr>
        <w:spacing w:before="80" w:after="80"/>
      </w:pPr>
      <w:r>
        <w:rPr>
          <w:b/>
        </w:rPr>
        <w:t xml:space="preserve">DEFINITION — Custom lingual matrix technique: </w:t>
      </w:r>
      <w:r>
        <w:rPr>
          <w:b w:val="0"/>
          <w:i w:val="0"/>
        </w:rPr>
        <w:t>a technique specifically for large/complex Class IV restorations (particularly useful when duplicating an existing restoration's lingual contour), in which a silicone index of the EXISTING lingual/incisal contour is taken BEFORE removing the old/defective restoration — using putty-like polyvinylsiloxane or a quick-set silicone matrix material — creating a guide that the new restoration will be built against.</w:t>
      </w:r>
      <w:r>
        <w:t xml:space="preserve"> [1, p.553-554]</w:t>
      </w:r>
    </w:p>
    <w:p>
      <w:pPr>
        <w:pStyle w:val="ListNumber"/>
        <w:spacing w:after="60"/>
      </w:pPr>
      <w:r>
        <w:rPr>
          <w:b w:val="0"/>
          <w:i w:val="0"/>
        </w:rPr>
        <w:t>Select shade BEFORE isolating and removing the existing restoration (per the dehydration-trap rule already covered in Sub-Module 4.1).</w:t>
      </w:r>
    </w:p>
    <w:p>
      <w:pPr>
        <w:pStyle w:val="ListNumber"/>
        <w:spacing w:after="60"/>
      </w:pPr>
      <w:r>
        <w:rPr>
          <w:b w:val="0"/>
          <w:i w:val="0"/>
        </w:rPr>
        <w:t>Take the silicone lingual/incisal index of the existing restoration's contour, before any tooth structure is removed.</w:t>
      </w:r>
    </w:p>
    <w:p>
      <w:pPr>
        <w:pStyle w:val="ListNumber"/>
        <w:spacing w:after="60"/>
      </w:pPr>
      <w:r>
        <w:rPr>
          <w:b w:val="0"/>
          <w:i w:val="0"/>
        </w:rPr>
        <w:t>Place rubber dam; remove old composite material, caries, or friable structure; place a conservative enamel bevel.</w:t>
      </w:r>
    </w:p>
    <w:p>
      <w:pPr>
        <w:pStyle w:val="ListNumber"/>
        <w:spacing w:after="60"/>
      </w:pPr>
      <w:r>
        <w:rPr>
          <w:b w:val="0"/>
          <w:i w:val="0"/>
        </w:rPr>
        <w:t>Etch, prime, apply adhesive as usual.</w:t>
      </w:r>
    </w:p>
    <w:p>
      <w:pPr>
        <w:pStyle w:val="ListNumber"/>
        <w:spacing w:after="60"/>
      </w:pPr>
      <w:r>
        <w:rPr>
          <w:b w:val="0"/>
          <w:i w:val="0"/>
        </w:rPr>
        <w:t>Reposition the lingual matrix; insert the FIRST composite increment against it in the lingual portion of the preparation — this single increment, once cured, generally establishes the lingual, proximal, AND incisal contours of the entire final restoration.</w:t>
      </w:r>
    </w:p>
    <w:p>
      <w:pPr>
        <w:pStyle w:val="ListNumber"/>
        <w:spacing w:after="60"/>
      </w:pPr>
      <w:r>
        <w:rPr>
          <w:b w:val="0"/>
          <w:i w:val="0"/>
        </w:rPr>
        <w:t>Continue adding/curing further increments (dentin/enamel shades, with tints for effects like blue opalescence between mamelon lobes) to build up the final form.</w:t>
      </w:r>
    </w:p>
    <w:p>
      <w:pPr>
        <w:spacing w:after="120"/>
      </w:pPr>
      <w:r>
        <w:rPr>
          <w:b w:val="0"/>
          <w:i w:val="0"/>
        </w:rPr>
        <w:t>The stated payoff: this technique specifically reduces the amount of manual contouring/finishing needed afterward, since the lingual index does the shape-defining work that would otherwise require freehand sculpting</w:t>
      </w:r>
      <w:r>
        <w:rPr>
          <w:b w:val="0"/>
          <w:i w:val="0"/>
        </w:rPr>
        <w:t xml:space="preserve"> [1, p.554]</w:t>
      </w:r>
      <w:r>
        <w:rPr>
          <w:b w:val="0"/>
          <w:i w:val="0"/>
        </w:rPr>
        <w:t>.</w:t>
      </w:r>
    </w:p>
    <w:p>
      <w:pPr>
        <w:pStyle w:val="Heading3"/>
      </w:pPr>
      <w:r>
        <w:t>2.4 Insertion for Standard (Non-Custom-Matrix) Cases</w:t>
      </w:r>
    </w:p>
    <w:p>
      <w:pPr>
        <w:spacing w:after="120"/>
      </w:pPr>
      <w:r>
        <w:rPr>
          <w:b w:val="0"/>
          <w:i w:val="0"/>
        </w:rPr>
        <w:t>For the more typical case using a standard polyester strip matrix, composite is inserted with a hand instrument or syringe and cured in 1-2mm increments — slightly finer than the general 2mm rule, reflecting Class IV's incisal-edge load-bearing demands. A specific handling caution: closing/tightening the strip must not be done with excessive force, because this can extrude the still-soft material incisally and produce an UNDERcontoured result once cured</w:t>
      </w:r>
      <w:r>
        <w:rPr>
          <w:b w:val="0"/>
          <w:i w:val="0"/>
        </w:rPr>
        <w:t xml:space="preserve"> [1, p.554]</w:t>
      </w:r>
      <w:r>
        <w:rPr>
          <w:b w:val="0"/>
          <w:i w:val="0"/>
        </w:rPr>
        <w:t>.</w:t>
      </w:r>
    </w:p>
    <w:p>
      <w:r>
        <w:br w:type="page"/>
      </w:r>
    </w:p>
    <w:p>
      <w:pPr>
        <w:pStyle w:val="Heading3"/>
      </w:pPr>
      <w:r>
        <w:t>2.5 Historical/Alternative Matrix Techniques for Classes IV and V (Marzouk's)</w:t>
      </w:r>
    </w:p>
    <w:p>
      <w:r>
        <w:t>Marzouk's (1985) predates modern chairside adhesive dentistry and its matrix techniques are correspondingly more elaborate/lab-supported than those used today — presented here as historically-grounded alternatives worth recognizing, not as current standard practice, since the direct chairside techniques from Sturdevant's (Section 2.3 above) have generally superseded them.</w:t>
      </w:r>
    </w:p>
    <w:p>
      <w:r>
        <w:rPr>
          <w:b/>
        </w:rPr>
        <w:t xml:space="preserve">Anatomic matrix (Class IV or V): </w:t>
      </w:r>
      <w:r>
        <w:t>a pre-treatment study model of the affected tooth plus at least one intact adjacent tooth on each side is made; the defect is restored in wax/plaster ON THE MODEL first; a vacuum-formed plastic template is then made over this idealized wax-up, trimmed to seat on the unprepared adjacent teeth, and vented by perforating the area corresponding to the future restoration. At the chair, restorative material is placed both into the actual preparation AND into the template, which is then seated over the tooth for curing — effectively using a pre-planned ideal anatomy as the matrix itself, rather than sculpting form freehand.</w:t>
      </w:r>
      <w:r>
        <w:t xml:space="preserve"> [4, p.255-256]</w:t>
      </w:r>
    </w:p>
    <w:p>
      <w:r>
        <w:rPr>
          <w:b/>
        </w:rPr>
        <w:t xml:space="preserve">Window matrix (Class V): </w:t>
      </w:r>
      <w:r>
        <w:t>a Tofflemire band or seamless copper band is selected, and a window is cut in the band matching the cavity outline (slightly smaller in diameter for the copper-band version). The band is positioned circumferentially around the tooth and wedged mesially/distally, exposing only the cavity itself through the window for material placement and shaping — a technique conceptually similar to a “window” cutout rather than an open strip.</w:t>
      </w:r>
      <w:r>
        <w:t xml:space="preserve"> [4, p.256]</w:t>
      </w:r>
    </w:p>
    <w:p>
      <w:r>
        <w:rPr>
          <w:b/>
        </w:rPr>
        <w:t xml:space="preserve">S-shaped matrix: </w:t>
      </w:r>
      <w:r>
        <w:t>used for a proximal extension of a buccal/lingual Class V preparation. A strip of dead (non-elastic, memory-free) metal — typically copper, tin, or aluminum foil — is shaped into an S: one arm passes over the labial surface of the CONTACTING tooth, the other over the lingual surface of the tooth being restored, contoured and thinned specifically at the proximal portion.</w:t>
      </w:r>
      <w:r>
        <w:t xml:space="preserve"> [4, p.256]</w:t>
      </w:r>
    </w:p>
    <w:p>
      <w:r>
        <w:t>For extremely wide Class V cavities where no matrix adequately controls contour, Marzouk's offers a staged alternative: restore the mesial half first (allowed to harden), then prepare and restore the distal half separately — splitting one wide restoration into two sequential ones specifically to maintain control that a single-stage matrix technique cannot provide at that width.</w:t>
      </w:r>
      <w:r>
        <w:t xml:space="preserve"> [4, p.256]</w:t>
      </w:r>
    </w:p>
    <w:p>
      <w:pPr>
        <w:pStyle w:val="Heading2"/>
      </w:pPr>
      <w:r>
        <w:t>3. Class V Composite Restorations</w:t>
      </w:r>
    </w:p>
    <w:p>
      <w:pPr>
        <w:pStyle w:val="Heading3"/>
      </w:pPr>
      <w:r>
        <w:t>3.1 A Genuine Biological Paradox: Mechanically Shallow, Biologically Deep</w:t>
      </w:r>
    </w:p>
    <w:p>
      <w:pPr>
        <w:spacing w:after="120"/>
      </w:pPr>
      <w:r>
        <w:rPr>
          <w:b w:val="0"/>
          <w:i w:val="0"/>
        </w:rPr>
        <w:t xml:space="preserve">Class V carious lesions are described as mechanically shallow but </w:t>
      </w:r>
      <w:r>
        <w:rPr>
          <w:b/>
          <w:i w:val="0"/>
        </w:rPr>
        <w:t>biologically deep</w:t>
      </w:r>
      <w:r>
        <w:rPr>
          <w:b w:val="0"/>
          <w:i w:val="0"/>
        </w:rPr>
        <w:t>, because of their direct proximity to the pulp chamber at that location — pulpal exposure can occur easily despite the lesion not being physically extensive. Stepwise excavation (already covered in Sub-Module 2.2) is specifically indicated here whenever continued excavation risks exposure</w:t>
      </w:r>
      <w:r>
        <w:rPr>
          <w:b w:val="0"/>
          <w:i w:val="0"/>
        </w:rPr>
        <w:t xml:space="preserve"> [2, p.496]</w:t>
      </w:r>
      <w:r>
        <w:rPr>
          <w:b w:val="0"/>
          <w:i w:val="0"/>
        </w:rPr>
        <w:t>.</w:t>
      </w:r>
    </w:p>
    <w:p>
      <w:pPr>
        <w:pStyle w:val="Heading3"/>
      </w:pPr>
      <w:r>
        <w:t>3.2 The Restore-or-Not Decision Framework</w:t>
      </w:r>
    </w:p>
    <w:p>
      <w:pPr>
        <w:spacing w:after="120"/>
      </w:pPr>
      <w:r>
        <w:rPr>
          <w:b w:val="0"/>
          <w:i w:val="0"/>
        </w:rPr>
        <w:t>Unlike Classes I-IV (where a cavitated lesion essentially always requires restoration), Class V/cervical lesions have a genuine restore-vs-monitor decision tree worth learning explicitly:</w:t>
      </w:r>
    </w:p>
    <w:p>
      <w:pPr>
        <w:pStyle w:val="ListBullet"/>
        <w:spacing w:after="60"/>
      </w:pPr>
      <w:r>
        <w:rPr>
          <w:b/>
          <w:i w:val="0"/>
        </w:rPr>
        <w:t>White-spot (non-cavitated) carious lesion:</w:t>
      </w:r>
      <w:r>
        <w:rPr>
          <w:b w:val="0"/>
          <w:i w:val="0"/>
        </w:rPr>
        <w:t xml:space="preserve"> NOT an indication for restoration — manage with biofilm control, dietary change, fluoride, or resin infiltration (covered fully in a later module) to arrest/remineralize instead.</w:t>
      </w:r>
    </w:p>
    <w:p>
      <w:pPr>
        <w:pStyle w:val="ListBullet"/>
        <w:spacing w:after="60"/>
      </w:pPr>
      <w:r>
        <w:rPr>
          <w:b/>
          <w:i w:val="0"/>
        </w:rPr>
        <w:t>Cavitated carious lesion:</w:t>
      </w:r>
      <w:r>
        <w:rPr>
          <w:b w:val="0"/>
          <w:i w:val="0"/>
        </w:rPr>
        <w:t xml:space="preserve"> restore, UNLESS the cavitation is superficial enough for the patient to mechanically clean it themselves with a toothbrush and there is no esthetic concern.</w:t>
      </w:r>
    </w:p>
    <w:p>
      <w:pPr>
        <w:pStyle w:val="ListBullet"/>
        <w:spacing w:after="60"/>
      </w:pPr>
      <w:r>
        <w:rPr>
          <w:b/>
          <w:i w:val="0"/>
        </w:rPr>
        <w:t>Small non-carious lesion, etiology identified and controlled:</w:t>
      </w:r>
      <w:r>
        <w:rPr>
          <w:b w:val="0"/>
          <w:i w:val="0"/>
        </w:rPr>
        <w:t xml:space="preserve"> may be left unrestored.</w:t>
      </w:r>
    </w:p>
    <w:p>
      <w:pPr>
        <w:pStyle w:val="ListBullet"/>
        <w:spacing w:after="60"/>
      </w:pPr>
      <w:r>
        <w:rPr>
          <w:b/>
          <w:i w:val="0"/>
        </w:rPr>
        <w:t>Non-carious lesion causing dentin hypersensitivity:</w:t>
      </w:r>
      <w:r>
        <w:rPr>
          <w:b w:val="0"/>
          <w:i w:val="0"/>
        </w:rPr>
        <w:t xml:space="preserve"> try a desensitizing agent first; restore only if sensitivity persists despite that treatment.</w:t>
      </w:r>
    </w:p>
    <w:p>
      <w:pPr>
        <w:pStyle w:val="ListBullet"/>
        <w:spacing w:after="60"/>
      </w:pPr>
      <w:r>
        <w:rPr>
          <w:b/>
          <w:i w:val="0"/>
        </w:rPr>
        <w:t>Non-carious lesion causing biofilm retention/gingival inflammation:</w:t>
      </w:r>
      <w:r>
        <w:rPr>
          <w:b w:val="0"/>
          <w:i w:val="0"/>
        </w:rPr>
        <w:t xml:space="preserve"> restore, regardless of size.</w:t>
      </w:r>
    </w:p>
    <w:p>
      <w:pPr>
        <w:pStyle w:val="ListBullet"/>
        <w:spacing w:after="60"/>
      </w:pPr>
      <w:r>
        <w:rPr>
          <w:b/>
          <w:i w:val="0"/>
        </w:rPr>
        <w:t>Large/deep non-carious lesion:</w:t>
      </w:r>
      <w:r>
        <w:rPr>
          <w:b w:val="0"/>
          <w:i w:val="0"/>
        </w:rPr>
        <w:t xml:space="preserve"> restore specifically to prevent pulpal progression AND to reinforce fracture resistance of the weakened remaining tooth structure — restoration here is structural, not purely cosmetic.</w:t>
      </w:r>
    </w:p>
    <w:p>
      <w:pPr>
        <w:spacing w:after="120"/>
      </w:pPr>
      <w:r>
        <w:rPr>
          <w:b w:val="0"/>
          <w:i w:val="0"/>
        </w:rPr>
        <w:t>Source: [2, p.496-497]. In every non-carious case, the underlying etiological factor (erosion/attrition/abrasion/abfraction — full etiology deferred to Sub-Module 6.4) must be identified and addressed BEFORE restoring, specifically to avoid the lesion simply relapsing.</w:t>
      </w:r>
    </w:p>
    <w:p>
      <w:pPr>
        <w:pStyle w:val="Heading3"/>
      </w:pPr>
      <w:r>
        <w:t>3.3 A Specific Substrate Challenge: Sclerotic Dentin</w:t>
      </w:r>
    </w:p>
    <w:p>
      <w:pPr>
        <w:spacing w:after="120"/>
      </w:pPr>
      <w:r>
        <w:rPr>
          <w:b w:val="0"/>
          <w:i w:val="0"/>
        </w:rPr>
        <w:t xml:space="preserve">Inactive (arrested) cervical lesions often present as stained, shiny, </w:t>
      </w:r>
      <w:r>
        <w:rPr>
          <w:b/>
          <w:i w:val="0"/>
        </w:rPr>
        <w:t>sclerotic dentin</w:t>
      </w:r>
      <w:r>
        <w:rPr>
          <w:b w:val="0"/>
          <w:i w:val="0"/>
        </w:rPr>
        <w:t xml:space="preserve"> — dentinal tubules obliterated by mineral deposition with a thickened peritubular dentin layer. This sclerotic substrate is MORE RESISTANT to acid etching, directly impairing bonding quality. Two countermeasures: increase etching time beyond the standard duration, OR gently remove the superficial sclerotic layer with a round bur to expose a less sclerotic substrate underneath before bonding</w:t>
      </w:r>
      <w:r>
        <w:rPr>
          <w:b w:val="0"/>
          <w:i w:val="0"/>
        </w:rPr>
        <w:t xml:space="preserve"> [2, p.497]</w:t>
      </w:r>
      <w:r>
        <w:rPr>
          <w:b w:val="0"/>
          <w:i w:val="0"/>
        </w:rPr>
        <w:t>.</w:t>
      </w:r>
    </w:p>
    <w:p>
      <w:pPr>
        <w:pStyle w:val="Heading3"/>
      </w:pPr>
      <w:r>
        <w:t>3.4 A Striking Evidence-Based Caution on Adjacent-Tooth Protection</w:t>
      </w:r>
    </w:p>
    <w:p>
      <w:pPr>
        <w:spacing w:after="120"/>
      </w:pPr>
      <w:r>
        <w:rPr>
          <w:b w:val="0"/>
          <w:i w:val="0"/>
        </w:rPr>
        <w:t>Before etching, the proximal surface of any tooth ADJACENT to the preparation must be protected with a polyester/PTFE strip. The etching itself is extended roughly 1mm beyond the cavosurface margin/bevel specifically so that any inadvertent flash of composite over that zone won't show through as staining later</w:t>
      </w:r>
      <w:r>
        <w:rPr>
          <w:b w:val="0"/>
          <w:i w:val="0"/>
        </w:rPr>
        <w:t xml:space="preserve"> [2, p.497]</w:t>
      </w:r>
      <w:r>
        <w:rPr>
          <w:b w:val="0"/>
          <w:i w:val="0"/>
        </w:rPr>
        <w:t xml:space="preserve">. The evidence behind protecting the adjacent tooth specifically is worth knowing: SEM imaging has shown that </w:t>
      </w:r>
      <w:r>
        <w:rPr>
          <w:b/>
          <w:i w:val="0"/>
        </w:rPr>
        <w:t>accidentally-etched enamel is NOT fully remineralized even 90 days later</w:t>
      </w:r>
      <w:r>
        <w:rPr>
          <w:b w:val="0"/>
          <w:i w:val="0"/>
        </w:rPr>
        <w:t xml:space="preserve"> — despite looking clinically normal within days. This is a genuinely long remineralization timeline that justifies routinely protecting adjacent surfaces rather than treating occasional incidental etching as a trivial, self-correcting event</w:t>
      </w:r>
      <w:r>
        <w:rPr>
          <w:b w:val="0"/>
          <w:i w:val="0"/>
        </w:rPr>
        <w:t xml:space="preserve"> [2, p.497]</w:t>
      </w:r>
      <w:r>
        <w:rPr>
          <w:b w:val="0"/>
          <w:i w:val="0"/>
        </w:rPr>
        <w:t>.</w:t>
      </w:r>
    </w:p>
    <w:p>
      <w:pPr>
        <w:pStyle w:val="Heading3"/>
      </w:pPr>
      <w:r>
        <w:t>3.5 Isolation Technique — A Genuine Spectrum of Difficulty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Situation</w:t>
            </w:r>
          </w:p>
        </w:tc>
        <w:tc>
          <w:tcPr>
            <w:tcW w:type="dxa" w:w="4320"/>
          </w:tcPr>
          <w:p>
            <w:r>
              <w:rPr>
                <w:b/>
                <w:sz w:val="18"/>
              </w:rPr>
              <w:t>Technique</w:t>
            </w:r>
          </w:p>
        </w:tc>
      </w:tr>
      <w:tr>
        <w:tc>
          <w:tcPr>
            <w:tcW w:type="dxa" w:w="4320"/>
          </w:tcPr>
          <w:p>
            <w:r>
              <w:rPr>
                <w:sz w:val="18"/>
              </w:rPr>
              <w:t>Standard single Class V, rubber dam</w:t>
            </w:r>
          </w:p>
        </w:tc>
        <w:tc>
          <w:tcPr>
            <w:tcW w:type="dxa" w:w="4320"/>
          </w:tcPr>
          <w:p>
            <w:r>
              <w:rPr>
                <w:sz w:val="18"/>
              </w:rPr>
              <w:t>No. 212 or 212M retraction clamp</w:t>
            </w:r>
          </w:p>
        </w:tc>
      </w:tr>
      <w:tr>
        <w:tc>
          <w:tcPr>
            <w:tcW w:type="dxa" w:w="4320"/>
          </w:tcPr>
          <w:p>
            <w:r>
              <w:rPr>
                <w:sz w:val="18"/>
              </w:rPr>
              <w:t>Two neighbouring teeth restored simultaneously</w:t>
            </w:r>
          </w:p>
        </w:tc>
        <w:tc>
          <w:tcPr>
            <w:tcW w:type="dxa" w:w="4320"/>
          </w:tcPr>
          <w:p>
            <w:r>
              <w:rPr>
                <w:sz w:val="18"/>
              </w:rPr>
              <w:t>No. 212L and 212R clamps (allow both restorations at once)</w:t>
            </w:r>
          </w:p>
        </w:tc>
      </w:tr>
      <w:tr>
        <w:tc>
          <w:tcPr>
            <w:tcW w:type="dxa" w:w="4320"/>
          </w:tcPr>
          <w:p>
            <w:r>
              <w:rPr>
                <w:sz w:val="18"/>
              </w:rPr>
              <w:t>Unstable clamp</w:t>
            </w:r>
          </w:p>
        </w:tc>
        <w:tc>
          <w:tcPr>
            <w:tcW w:type="dxa" w:w="4320"/>
          </w:tcPr>
          <w:p>
            <w:r>
              <w:rPr>
                <w:sz w:val="18"/>
              </w:rPr>
              <w:t>Low-fusing compound or a light-cured gingival barrier applied at the clamp bow, touching adjacent incisal/occlusal surfaces for stabilization — prevents clamp movement that could injure the tooth or soft tissue</w:t>
            </w:r>
          </w:p>
        </w:tc>
      </w:tr>
      <w:tr>
        <w:tc>
          <w:tcPr>
            <w:tcW w:type="dxa" w:w="4320"/>
          </w:tcPr>
          <w:p>
            <w:r>
              <w:rPr>
                <w:sz w:val="18"/>
              </w:rPr>
              <w:t>Cotton-roll isolation chosen instead</w:t>
            </w:r>
          </w:p>
        </w:tc>
        <w:tc>
          <w:tcPr>
            <w:tcW w:type="dxa" w:w="4320"/>
          </w:tcPr>
          <w:p>
            <w:r>
              <w:rPr>
                <w:sz w:val="18"/>
              </w:rPr>
              <w:t>Extra-fine (size 000) non-impregnated retraction cord placed in the sulcus (~8-10mm per tooth); a hemostatic-impregnated cord if bleeding control is also needed. Insertion starts at the interproximal/papilla area and extends slightly beyond the preparation's limit</w:t>
            </w:r>
          </w:p>
        </w:tc>
      </w:tr>
      <w:tr>
        <w:tc>
          <w:tcPr>
            <w:tcW w:type="dxa" w:w="4320"/>
          </w:tcPr>
          <w:p>
            <w:r>
              <w:rPr>
                <w:sz w:val="18"/>
              </w:rPr>
              <w:t>Gingival margin subgingival but biologic width NOT invaded, and cord alone can't displace tissue adequately (clamp would be too traumatic)</w:t>
            </w:r>
          </w:p>
        </w:tc>
        <w:tc>
          <w:tcPr>
            <w:tcW w:type="dxa" w:w="4320"/>
          </w:tcPr>
          <w:p>
            <w:r>
              <w:rPr>
                <w:sz w:val="18"/>
              </w:rPr>
              <w:t>Trans-surgical restoration: an intrasulcular incision (with or without internal bevel) creates a small envelope flap, allowing clamp + rubber dam placement afterward</w:t>
            </w:r>
          </w:p>
        </w:tc>
      </w:tr>
      <w:tr>
        <w:tc>
          <w:tcPr>
            <w:tcW w:type="dxa" w:w="4320"/>
          </w:tcPr>
          <w:p>
            <w:r>
              <w:rPr>
                <w:sz w:val="18"/>
              </w:rPr>
              <w:t>Biologic width already invaded by a carious lesion</w:t>
            </w:r>
          </w:p>
        </w:tc>
        <w:tc>
          <w:tcPr>
            <w:tcW w:type="dxa" w:w="4320"/>
          </w:tcPr>
          <w:p>
            <w:r>
              <w:rPr>
                <w:sz w:val="18"/>
              </w:rPr>
              <w:t>Surgical re-establishment of biologic width is required BEFORE restoration, not an isolation workaround</w:t>
            </w:r>
          </w:p>
        </w:tc>
      </w:tr>
    </w:tbl>
    <w:p>
      <w:r>
        <w:rPr>
          <w:i/>
          <w:sz w:val="18"/>
        </w:rPr>
        <w:t>Source: [2, p.499-500].</w:t>
      </w:r>
    </w:p>
    <w:p/>
    <w:p>
      <w:pPr>
        <w:pStyle w:val="Heading3"/>
      </w:pPr>
      <w:r>
        <w:t>3.6 Material Selection — Why Elastic Modulus Matters More Here Than Anywhere Else</w:t>
      </w:r>
    </w:p>
    <w:p>
      <w:pPr>
        <w:spacing w:after="120"/>
      </w:pPr>
      <w:r>
        <w:rPr>
          <w:b w:val="0"/>
          <w:i w:val="0"/>
        </w:rPr>
        <w:t>Microfilled composites are specifically favoured for Class V because their LOW elastic modulus (from reduced filler content) allows the restoration to flex WITH the tooth during cervical flexure under occlusal load, rather than debonding</w:t>
      </w:r>
      <w:r>
        <w:rPr>
          <w:b w:val="0"/>
          <w:i w:val="0"/>
        </w:rPr>
        <w:t xml:space="preserve"> [2, p.507]</w:t>
      </w:r>
      <w:r>
        <w:rPr>
          <w:b w:val="0"/>
          <w:i w:val="0"/>
        </w:rPr>
        <w:t xml:space="preserve"> (already touched on in Sub-Module 3.1's filler-classification discussion; here it becomes a class-specific selection criterion, not just a generic property). This matters specifically because elastic modulus is directly implicated in abfraction lesions, which arise from stress concentration at the cervical area — a low-modulus material is better able to dissipate that same concentrated stress rather than transmitting it to the bond interface. Flowable composites share this low-modulus advantage AND additionally improve wall adaptation/retention through better flow into surface irregularities</w:t>
      </w:r>
      <w:r>
        <w:rPr>
          <w:b w:val="0"/>
          <w:i w:val="0"/>
        </w:rPr>
        <w:t xml:space="preserve"> [2, p.507]</w:t>
      </w:r>
      <w:r>
        <w:rPr>
          <w:b w:val="0"/>
          <w:i w:val="0"/>
        </w:rPr>
        <w:t>. Microhybrid, nanohybrid, and nanofilled composites remain acceptable alternatives where higher polish/esthetics is prioritized over maximum flexibility</w:t>
      </w:r>
      <w:r>
        <w:rPr>
          <w:b w:val="0"/>
          <w:i w:val="0"/>
        </w:rPr>
        <w:t xml:space="preserve"> [2, p.507]</w:t>
      </w:r>
      <w:r>
        <w:rPr>
          <w:b w:val="0"/>
          <w:i w:val="0"/>
        </w:rPr>
        <w:t>.</w:t>
      </w:r>
    </w:p>
    <w:p>
      <w:pPr>
        <w:spacing w:after="120"/>
      </w:pPr>
      <w:r>
        <w:rPr>
          <w:b w:val="0"/>
          <w:i w:val="0"/>
        </w:rPr>
        <w:t>Layering follows the general principles from Sub-Module 4.1: a single increment suffices for shallow, enamel-only preparations; two increments (opaque dentin-shade covering the axial wall first, translucent enamel-shade second) are used where dentin loss requires replacement — the same dentin-then-enamel logic already established for Class I in Sub-Module 4.2a, now applied to a cervical rather than occlusal geometry</w:t>
      </w:r>
      <w:r>
        <w:rPr>
          <w:b w:val="0"/>
          <w:i w:val="0"/>
        </w:rPr>
        <w:t xml:space="preserve"> [2, p.507]</w:t>
      </w:r>
      <w:r>
        <w:rPr>
          <w:b w:val="0"/>
          <w:i w:val="0"/>
        </w:rPr>
        <w:t>.</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Class III root-surface extension</w:t>
            </w:r>
          </w:p>
        </w:tc>
        <w:tc>
          <w:tcPr>
            <w:tcW w:type="dxa" w:w="2880"/>
          </w:tcPr>
          <w:p>
            <w:r>
              <w:rPr>
                <w:sz w:val="18"/>
              </w:rPr>
              <w:t>Same V-shaped contraction gap risk as Class I/II — RMGI liner can help, but this is a general subgingival-restoration problem, not composite-specific</w:t>
            </w:r>
          </w:p>
        </w:tc>
        <w:tc>
          <w:tcPr>
            <w:tcW w:type="dxa" w:w="2880"/>
          </w:tcPr>
          <w:p>
            <w:r>
              <w:rPr>
                <w:sz w:val="18"/>
              </w:rPr>
              <w:t>[1, p.550]</w:t>
            </w:r>
          </w:p>
        </w:tc>
      </w:tr>
      <w:tr>
        <w:tc>
          <w:tcPr>
            <w:tcW w:type="dxa" w:w="2880"/>
          </w:tcPr>
          <w:p>
            <w:r>
              <w:rPr>
                <w:sz w:val="18"/>
              </w:rPr>
              <w:t>Class IV preoperative planning</w:t>
            </w:r>
          </w:p>
        </w:tc>
        <w:tc>
          <w:tcPr>
            <w:tcW w:type="dxa" w:w="2880"/>
          </w:tcPr>
          <w:p>
            <w:r>
              <w:rPr>
                <w:sz w:val="18"/>
              </w:rPr>
              <w:t>Occlusal assessment is MORE critical here — directly dictates margin placement AND retention-form geometry needed</w:t>
            </w:r>
          </w:p>
        </w:tc>
        <w:tc>
          <w:tcPr>
            <w:tcW w:type="dxa" w:w="2880"/>
          </w:tcPr>
          <w:p>
            <w:r>
              <w:rPr>
                <w:sz w:val="18"/>
              </w:rPr>
              <w:t>[1, p.550]</w:t>
            </w:r>
          </w:p>
        </w:tc>
      </w:tr>
      <w:tr>
        <w:tc>
          <w:tcPr>
            <w:tcW w:type="dxa" w:w="2880"/>
          </w:tcPr>
          <w:p>
            <w:r>
              <w:rPr>
                <w:sz w:val="18"/>
              </w:rPr>
              <w:t>Class IV matrix limitation</w:t>
            </w:r>
          </w:p>
        </w:tc>
        <w:tc>
          <w:tcPr>
            <w:tcW w:type="dxa" w:w="2880"/>
          </w:tcPr>
          <w:p>
            <w:r>
              <w:rPr>
                <w:sz w:val="18"/>
              </w:rPr>
              <w:t>Standard polyester strip's flexibility genuinely limits contour control — crease it at the lingual line angle to prevent undercontouring there</w:t>
            </w:r>
          </w:p>
        </w:tc>
        <w:tc>
          <w:tcPr>
            <w:tcW w:type="dxa" w:w="2880"/>
          </w:tcPr>
          <w:p>
            <w:r>
              <w:rPr>
                <w:sz w:val="18"/>
              </w:rPr>
              <w:t>[1, p.553]</w:t>
            </w:r>
          </w:p>
        </w:tc>
      </w:tr>
      <w:tr>
        <w:tc>
          <w:tcPr>
            <w:tcW w:type="dxa" w:w="2880"/>
          </w:tcPr>
          <w:p>
            <w:r>
              <w:rPr>
                <w:sz w:val="18"/>
              </w:rPr>
              <w:t>Custom lingual matrix technique</w:t>
            </w:r>
          </w:p>
        </w:tc>
        <w:tc>
          <w:tcPr>
            <w:tcW w:type="dxa" w:w="2880"/>
          </w:tcPr>
          <w:p>
            <w:r>
              <w:rPr>
                <w:sz w:val="18"/>
              </w:rPr>
              <w:t>Take a silicone index of the EXISTING contour BEFORE removing it — the first increment against this index sets lingual/proximal/incisal form in one step</w:t>
            </w:r>
          </w:p>
        </w:tc>
        <w:tc>
          <w:tcPr>
            <w:tcW w:type="dxa" w:w="2880"/>
          </w:tcPr>
          <w:p>
            <w:r>
              <w:rPr>
                <w:sz w:val="18"/>
              </w:rPr>
              <w:t>[1, p.553-554]</w:t>
            </w:r>
          </w:p>
        </w:tc>
      </w:tr>
      <w:tr>
        <w:tc>
          <w:tcPr>
            <w:tcW w:type="dxa" w:w="2880"/>
          </w:tcPr>
          <w:p>
            <w:r>
              <w:rPr>
                <w:sz w:val="18"/>
              </w:rPr>
              <w:t>Class V: shallow but biologically deep</w:t>
            </w:r>
          </w:p>
        </w:tc>
        <w:tc>
          <w:tcPr>
            <w:tcW w:type="dxa" w:w="2880"/>
          </w:tcPr>
          <w:p>
            <w:r>
              <w:rPr>
                <w:sz w:val="18"/>
              </w:rPr>
              <w:t>Pulpal proximity risk is high despite the lesion looking mechanically minor — stepwise excavation indicated if exposure risk emerges</w:t>
            </w:r>
          </w:p>
        </w:tc>
        <w:tc>
          <w:tcPr>
            <w:tcW w:type="dxa" w:w="2880"/>
          </w:tcPr>
          <w:p>
            <w:r>
              <w:rPr>
                <w:sz w:val="18"/>
              </w:rPr>
              <w:t>[2, p.496]</w:t>
            </w:r>
          </w:p>
        </w:tc>
      </w:tr>
      <w:tr>
        <w:tc>
          <w:tcPr>
            <w:tcW w:type="dxa" w:w="2880"/>
          </w:tcPr>
          <w:p>
            <w:r>
              <w:rPr>
                <w:sz w:val="18"/>
              </w:rPr>
              <w:t>Class V restore-or-monitor decision</w:t>
            </w:r>
          </w:p>
        </w:tc>
        <w:tc>
          <w:tcPr>
            <w:tcW w:type="dxa" w:w="2880"/>
          </w:tcPr>
          <w:p>
            <w:r>
              <w:rPr>
                <w:sz w:val="18"/>
              </w:rPr>
              <w:t>White-spot = don't restore (remineralize instead); cavitated = restore unless self-cleansable; non-carious = restore only for sensitivity/biofilm-retention/fracture-risk reasons</w:t>
            </w:r>
          </w:p>
        </w:tc>
        <w:tc>
          <w:tcPr>
            <w:tcW w:type="dxa" w:w="2880"/>
          </w:tcPr>
          <w:p>
            <w:r>
              <w:rPr>
                <w:sz w:val="18"/>
              </w:rPr>
              <w:t>[2, p.496-497]</w:t>
            </w:r>
          </w:p>
        </w:tc>
      </w:tr>
      <w:tr>
        <w:tc>
          <w:tcPr>
            <w:tcW w:type="dxa" w:w="2880"/>
          </w:tcPr>
          <w:p>
            <w:r>
              <w:rPr>
                <w:sz w:val="18"/>
              </w:rPr>
              <w:t>Sclerotic dentin</w:t>
            </w:r>
          </w:p>
        </w:tc>
        <w:tc>
          <w:tcPr>
            <w:tcW w:type="dxa" w:w="2880"/>
          </w:tcPr>
          <w:p>
            <w:r>
              <w:rPr>
                <w:sz w:val="18"/>
              </w:rPr>
              <w:t>Etches poorly (mineral-obliterated tubules) — extend etch time OR remove the superficial sclerotic layer with a round bur first</w:t>
            </w:r>
          </w:p>
        </w:tc>
        <w:tc>
          <w:tcPr>
            <w:tcW w:type="dxa" w:w="2880"/>
          </w:tcPr>
          <w:p>
            <w:r>
              <w:rPr>
                <w:sz w:val="18"/>
              </w:rPr>
              <w:t>[2, p.497]</w:t>
            </w:r>
          </w:p>
        </w:tc>
      </w:tr>
      <w:tr>
        <w:tc>
          <w:tcPr>
            <w:tcW w:type="dxa" w:w="2880"/>
          </w:tcPr>
          <w:p>
            <w:r>
              <w:rPr>
                <w:sz w:val="18"/>
              </w:rPr>
              <w:t>Adjacent-tooth etch protection</w:t>
            </w:r>
          </w:p>
        </w:tc>
        <w:tc>
          <w:tcPr>
            <w:tcW w:type="dxa" w:w="2880"/>
          </w:tcPr>
          <w:p>
            <w:r>
              <w:rPr>
                <w:sz w:val="18"/>
              </w:rPr>
              <w:t>Accidentally-etched enamel is NOT fully remineralized even at 90 days despite looking normal within days — always protect the adjacent proximal surface</w:t>
            </w:r>
          </w:p>
        </w:tc>
        <w:tc>
          <w:tcPr>
            <w:tcW w:type="dxa" w:w="2880"/>
          </w:tcPr>
          <w:p>
            <w:r>
              <w:rPr>
                <w:sz w:val="18"/>
              </w:rPr>
              <w:t>[2, p.497]</w:t>
            </w:r>
          </w:p>
        </w:tc>
      </w:tr>
      <w:tr>
        <w:tc>
          <w:tcPr>
            <w:tcW w:type="dxa" w:w="2880"/>
          </w:tcPr>
          <w:p>
            <w:r>
              <w:rPr>
                <w:sz w:val="18"/>
              </w:rPr>
              <w:t>Class V isolation escalation</w:t>
            </w:r>
          </w:p>
        </w:tc>
        <w:tc>
          <w:tcPr>
            <w:tcW w:type="dxa" w:w="2880"/>
          </w:tcPr>
          <w:p>
            <w:r>
              <w:rPr>
                <w:sz w:val="18"/>
              </w:rPr>
              <w:t>Standard clamp → cotton roll + retraction cord → trans-surgical (envelope flap) if biologic width isn't invaded but cord/clamp still inadequate → surgical re-establishment if biologic width IS invaded</w:t>
            </w:r>
          </w:p>
        </w:tc>
        <w:tc>
          <w:tcPr>
            <w:tcW w:type="dxa" w:w="2880"/>
          </w:tcPr>
          <w:p>
            <w:r>
              <w:rPr>
                <w:sz w:val="18"/>
              </w:rPr>
              <w:t>[2, p.499-500]</w:t>
            </w:r>
          </w:p>
        </w:tc>
      </w:tr>
      <w:tr>
        <w:tc>
          <w:tcPr>
            <w:tcW w:type="dxa" w:w="2880"/>
          </w:tcPr>
          <w:p>
            <w:r>
              <w:rPr>
                <w:sz w:val="18"/>
              </w:rPr>
              <w:t>Class V material rationale</w:t>
            </w:r>
          </w:p>
        </w:tc>
        <w:tc>
          <w:tcPr>
            <w:tcW w:type="dxa" w:w="2880"/>
          </w:tcPr>
          <w:p>
            <w:r>
              <w:rPr>
                <w:sz w:val="18"/>
              </w:rPr>
              <w:t>LOW elastic modulus (microfill/flowable) specifically chosen to flex with cervical tooth flexure rather than debond — directly relevant to abfraction stress concentration</w:t>
            </w:r>
          </w:p>
        </w:tc>
        <w:tc>
          <w:tcPr>
            <w:tcW w:type="dxa" w:w="2880"/>
          </w:tcPr>
          <w:p>
            <w:r>
              <w:rPr>
                <w:sz w:val="18"/>
              </w:rPr>
              <w:t>[2, p.507]</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Roberson TM, Heymann HO, Swift EJ Jr, editors. Sturdevant's Art and Science of Operative Dentistry. 5th ed. St. Louis: Mosby (Elsevier); 2006. Chapter 12, “Class III, IV, and V Direct Composite and Other Tooth-Colored Restorations,” p.550, 553-554, 556-558.</w:t>
      </w:r>
    </w:p>
    <w:p>
      <w:pPr>
        <w:spacing w:after="120"/>
        <w:ind w:left="432" w:hanging="432"/>
      </w:pPr>
      <w:r>
        <w:rPr>
          <w:sz w:val="20"/>
        </w:rPr>
        <w:t xml:space="preserve">2. </w:t>
      </w:r>
      <w:r>
        <w:rPr>
          <w:sz w:val="20"/>
        </w:rPr>
        <w:t>Torres CRG, editor. Modern Operative Dentistry: Principles for Clinical Practice. Cham: Springer Nature Switzerland; 2020. Chapter 14, “Composite Restoration on Anterior Teeth,” p.496-497, 499-500, 507.</w:t>
      </w:r>
    </w:p>
    <w:p>
      <w:pPr>
        <w:spacing w:after="120"/>
        <w:ind w:left="432" w:hanging="432"/>
      </w:pPr>
      <w:r>
        <w:rPr>
          <w:sz w:val="20"/>
        </w:rPr>
        <w:t xml:space="preserve">3. </w:t>
      </w:r>
      <w:r>
        <w:rPr>
          <w:sz w:val="20"/>
        </w:rPr>
        <w:t>Vargas MA, Bergeron C, Murchison DF, Roeters J, Chan DCN. Direct Anterior Restorations. In: Hilton TJ, Ferracane JL, Broome JC, editors. Summitt's Fundamentals of Operative Dentistry. 4th ed. Chicago: Quintessence Publishing. p.506-509.</w:t>
      </w:r>
    </w:p>
    <w:p>
      <w:pPr>
        <w:spacing w:after="120"/>
        <w:ind w:left="432" w:hanging="432"/>
      </w:pPr>
      <w:r>
        <w:rPr>
          <w:sz w:val="20"/>
        </w:rPr>
        <w:t xml:space="preserve">4. </w:t>
      </w:r>
      <w:r>
        <w:rPr>
          <w:sz w:val="20"/>
        </w:rPr>
        <w:t>Marzouk MA, Simonton AL, Gross RD. Operative Dentistry: Modern Theory and Practice. New Delhi: Ishiyaku EuroAmerica/AITBS; 1985. Chapter 12, matrix techniques for Class IV/V tooth-colored restorations, p.255-256.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