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5.2: Indirect Restoration Materials</w:t>
      </w:r>
    </w:p>
    <w:p>
      <w:r>
        <w:t>Module 1: Conservative and Restorative Dentistry | Sub-Module 5.2</w:t>
      </w:r>
    </w:p>
    <w:p/>
    <w:p>
      <w:pPr>
        <w:pStyle w:val="Heading2"/>
      </w:pPr>
      <w:r>
        <w:t>Note on Sources</w:t>
      </w:r>
    </w:p>
    <w:p>
      <w:r>
        <w:t xml:space="preserve">Sources used in this document: </w:t>
      </w:r>
      <w:r/>
      <w:r>
        <w:t>[1] Craig's Restorative Dental Materials (14th ed.) — primary source for cast alloy composition/classification and ceramic materials science; [2] Philips' Science of Dental Materials (13th ed.) — indirect composite fabrication and survival data; [3] Sikri's Indirect Restorations in Dental Practice — exact gold-alloy-type compositions; [4] Summitt's Fundamentals of Operative Dentistry (4th ed.) — indirect composite wear/longevity data and ceramic inlay/onlay fabrication technique; [5] Sturdevant's Art and Science of Operative Dentistry (7th ed.) — porcelain repair chemistry, indirect composite bonding, CAD/CAM manufacturing classification, machinable-ceramic property data, and gold-alloy corrosion-resistance terminology; [6] Advanced Operative Dentistry: A Practical Approach (Ricketts) — porcelain manufacturing-method classification, generic all-ceramic crown preparation dimensions, and In-Ceram glass-infused coping systems.</w:t>
      </w:r>
      <w:r>
        <w:t xml:space="preserve"> reusing [6] Ricketts D, ed. Advanced Operative Dentistry: A Practical Approach — used for the ISO gold alloy type trend data, oxidation bonding treatment, gold-palladium biocompatibility cross-sensitivity, and die-stone expansion chemistry.</w:t>
      </w:r>
      <w:r>
        <w:t xml:space="preserve"> [7] Bhat VS, Nandish BT, Jayaprakash K. Science of Dental Materials with Clinical Applications, 3rd ed. — added on audit; a real, quantified ideal-requirements checklist for metal-ceramic (PFM) materials not previously covered.</w:t>
      </w:r>
    </w:p>
    <w:p>
      <w:r>
        <w:rPr>
          <w:b/>
        </w:rPr>
        <w:t xml:space="preserve">Checked, confirmed to have real content, but reserved for a later sub-module: </w:t>
      </w:r>
      <w:r>
        <w:t>Marzouk's Operative Dentistry Ch.17 ("Cast Restorations") was re-checked directly against the full canonical file (not a stale scratchpad copy — see Revision note in Sub-Module 3.1/3.2). It has substantial content on cast-restoration preparation (path of insertion, taper, retention, bevel design), but this is preparation technique, not material science, so it is reserved for Sub-Module 5.3 (Indirect Restoration Preparation &amp; Cementation) rather than force-fit here. Sikri's chapters on gold-alloy composition and metal-ceramic bonding overlap partially with 5.2's scope but were used here only for the composition data not found in the core texts.</w:t>
      </w:r>
    </w:p>
    <w:p>
      <w:r>
        <w:rPr>
          <w:b/>
        </w:rPr>
        <w:t xml:space="preserve">Checked but not used: </w:t>
      </w:r>
      <w:r>
        <w:t>Mount's Preservation and Restoration of Tooth Structure and McCabe's Applied Dental Materials were checked for cast-alloy/ceramic classification content distinct from what Craig's and Sikri's already provide in more quantified detail; no additional non-redundant content was found.</w:t>
      </w:r>
    </w:p>
    <w:p>
      <w:r>
        <w:rPr>
          <w:b/>
        </w:rPr>
        <w:t xml:space="preserve">Second revision note: </w:t>
      </w:r>
      <w:r>
        <w:t>the user then asked whether Advanced Operative Dentistry had also been checked for other already-delivered sub-modules, prompting a further audit. Its Chapter 9 ("Gold Restorations: The Metals, The Manufacture And The Fit") has real, distinct content this sub-module was missing: the ISO framing of gold alloy Types 1-4 as a continuous compositional trend (rather than four fixed points), the oxidation-furnace treatment used to bond gold to tooth structure with adhesive resin cements, a nickel/palladium cross-sensitivity biocompatibility note, and die-stone expansion chemistry explaining why cast indirect restorations reliably achieve a full seat. Added below as a new Section 1.5.</w:t>
      </w:r>
    </w:p>
    <w:p>
      <w:r>
        <w:rPr>
          <w:b/>
        </w:rPr>
        <w:t xml:space="preserve">Revision note: </w:t>
      </w:r>
      <w:r>
        <w:t>the user flagged that this sub-module under-used Sturdevant's (only cited for the bonding passage) and had entirely omitted Advanced Operative Dentistry (Ricketts) — a real, distinct source present in the library that was never checked in the original build. Both gaps are fixed below: Sturdevant's now also supplies its CAD/CAM manufacturing chapter (machinable-ceramic mechanical property table, copy-milling vs. CAD/CAM-milling classification) and its gold-alloy corrosion-resistance/historical classification content; Advanced Operative Dentistry supplies its porcelain manufacturing-method table and generic all-ceramic crown preparation data, which is genuinely new material not duplicated by Craig's or Sikri's.</w:t>
      </w:r>
    </w:p>
    <w:p>
      <w:r>
        <w:rPr>
          <w:b/>
        </w:rPr>
        <w:t xml:space="preserve">A note on citation format: </w:t>
      </w:r>
      <w:r>
        <w:t>Two Summitt's passages (indirect-composite wear/longevity data and ceramic inlay/onlay fabrication) had no recoverable printed folio in the extracted text near the relevant passage, so they are cited as PDF page numbers per the skill's fallback convention, e.g. [4, PDF p.998].</w:t>
      </w:r>
    </w:p>
    <w:p>
      <w:r>
        <w:br w:type="page"/>
      </w:r>
    </w:p>
    <w:p>
      <w:pPr>
        <w:pStyle w:val="Heading1"/>
      </w:pPr>
      <w:r>
        <w:t>1. Cast Alloys</w:t>
      </w:r>
    </w:p>
    <w:p>
      <w:pPr>
        <w:pStyle w:val="Heading2"/>
      </w:pPr>
      <w:r>
        <w:t>1.1 ADA Compositional Classification</w:t>
      </w:r>
    </w:p>
    <w:p>
      <w:r>
        <w:t xml:space="preserve">The ADA/ANSI specification classifies dental casting alloys by </w:t>
      </w:r>
      <w:r>
        <w:rPr>
          <w:i/>
        </w:rPr>
        <w:t>composition</w:t>
      </w:r>
      <w:r>
        <w:t xml:space="preserve"> into three groups: [1, p.179]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Definition</w:t>
            </w:r>
          </w:p>
        </w:tc>
        <w:tc>
          <w:tcPr>
            <w:tcW w:type="dxa" w:w="2880"/>
          </w:tcPr>
          <w:p>
            <w:r>
              <w:t>Typical Use</w:t>
            </w:r>
          </w:p>
        </w:tc>
      </w:tr>
      <w:tr>
        <w:tc>
          <w:tcPr>
            <w:tcW w:type="dxa" w:w="2880"/>
          </w:tcPr>
          <w:p>
            <w:r>
              <w:t>High noble</w:t>
            </w:r>
          </w:p>
        </w:tc>
        <w:tc>
          <w:tcPr>
            <w:tcW w:type="dxa" w:w="2880"/>
          </w:tcPr>
          <w:p>
            <w:r>
              <w:t>Noble-metal content ≥60 wt%, of which gold content ≥40 wt%</w:t>
            </w:r>
          </w:p>
        </w:tc>
        <w:tc>
          <w:tcPr>
            <w:tcW w:type="dxa" w:w="2880"/>
          </w:tcPr>
          <w:p>
            <w:r>
              <w:t>Historically preferred for inlays, onlays, crowns — highest biocompatibility/tarnish resistance</w:t>
            </w:r>
          </w:p>
        </w:tc>
      </w:tr>
      <w:tr>
        <w:tc>
          <w:tcPr>
            <w:tcW w:type="dxa" w:w="2880"/>
          </w:tcPr>
          <w:p>
            <w:r>
              <w:t>Noble</w:t>
            </w:r>
          </w:p>
        </w:tc>
        <w:tc>
          <w:tcPr>
            <w:tcW w:type="dxa" w:w="2880"/>
          </w:tcPr>
          <w:p>
            <w:r>
              <w:t>Noble-metal content ≥25 wt% (no gold stipulation)</w:t>
            </w:r>
          </w:p>
        </w:tc>
        <w:tc>
          <w:tcPr>
            <w:tcW w:type="dxa" w:w="2880"/>
          </w:tcPr>
          <w:p>
            <w:r>
              <w:t>Palladium-silver systems, often for metal-ceramic frameworks</w:t>
            </w:r>
          </w:p>
        </w:tc>
      </w:tr>
      <w:tr>
        <w:tc>
          <w:tcPr>
            <w:tcW w:type="dxa" w:w="2880"/>
          </w:tcPr>
          <w:p>
            <w:r>
              <w:t>Predominantly base metal</w:t>
            </w:r>
          </w:p>
        </w:tc>
        <w:tc>
          <w:tcPr>
            <w:tcW w:type="dxa" w:w="2880"/>
          </w:tcPr>
          <w:p>
            <w:r>
              <w:t>Noble-metal content &lt;25 wt%</w:t>
            </w:r>
          </w:p>
        </w:tc>
        <w:tc>
          <w:tcPr>
            <w:tcW w:type="dxa" w:w="2880"/>
          </w:tcPr>
          <w:p>
            <w:r>
              <w:t>Nickel-chromium/cobalt-chromium — long-span FPDs, removable partial denture frameworks</w:t>
            </w:r>
          </w:p>
        </w:tc>
      </w:tr>
    </w:tbl>
    <w:p/>
    <w:p>
      <w:r>
        <w:t xml:space="preserve">A second, independent classification (ANSI/ADA Specification No. 5 / ISO 1562) grades alloys by </w:t>
      </w:r>
      <w:r>
        <w:rPr>
          <w:i/>
        </w:rPr>
        <w:t>mechanical Type (I-IV)</w:t>
      </w:r>
      <w:r>
        <w:t>, based on the stress the restoration will bear — not on composition. A high-noble alloy can be Type I or Type IV depending on its mechanical properties. [1, p.179]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Description</w:t>
            </w:r>
          </w:p>
        </w:tc>
        <w:tc>
          <w:tcPr>
            <w:tcW w:type="dxa" w:w="2160"/>
          </w:tcPr>
          <w:p>
            <w:r>
              <w:t>Yield strength, annealed (MPa)</w:t>
            </w:r>
          </w:p>
        </w:tc>
        <w:tc>
          <w:tcPr>
            <w:tcW w:type="dxa" w:w="2160"/>
          </w:tcPr>
          <w:p>
            <w:r>
              <w:t>Clinical use</w:t>
            </w:r>
          </w:p>
        </w:tc>
      </w:tr>
      <w:tr>
        <w:tc>
          <w:tcPr>
            <w:tcW w:type="dxa" w:w="2160"/>
          </w:tcPr>
          <w:p>
            <w:r>
              <w:t>I — Soft</w:t>
            </w:r>
          </w:p>
        </w:tc>
        <w:tc>
          <w:tcPr>
            <w:tcW w:type="dxa" w:w="2160"/>
          </w:tcPr>
          <w:p>
            <w:r>
              <w:t>High elongation, easily burnished</w:t>
            </w:r>
          </w:p>
        </w:tc>
        <w:tc>
          <w:tcPr>
            <w:tcW w:type="dxa" w:w="2160"/>
          </w:tcPr>
          <w:p>
            <w:r>
              <w:t>&lt;140</w:t>
            </w:r>
          </w:p>
        </w:tc>
        <w:tc>
          <w:tcPr>
            <w:tcW w:type="dxa" w:w="2160"/>
          </w:tcPr>
          <w:p>
            <w:r>
              <w:t>Low-stress restorations: some inlays</w:t>
            </w:r>
          </w:p>
        </w:tc>
      </w:tr>
      <w:tr>
        <w:tc>
          <w:tcPr>
            <w:tcW w:type="dxa" w:w="2160"/>
          </w:tcPr>
          <w:p>
            <w:r>
              <w:t>II — Medium</w:t>
            </w:r>
          </w:p>
        </w:tc>
        <w:tc>
          <w:tcPr>
            <w:tcW w:type="dxa" w:w="2160"/>
          </w:tcPr>
          <w:p>
            <w:r>
              <w:t>Moderate hardness</w:t>
            </w:r>
          </w:p>
        </w:tc>
        <w:tc>
          <w:tcPr>
            <w:tcW w:type="dxa" w:w="2160"/>
          </w:tcPr>
          <w:p>
            <w:r>
              <w:t>140–200</w:t>
            </w:r>
          </w:p>
        </w:tc>
        <w:tc>
          <w:tcPr>
            <w:tcW w:type="dxa" w:w="2160"/>
          </w:tcPr>
          <w:p>
            <w:r>
              <w:t>Moderate-stress: inlays and onlays</w:t>
            </w:r>
          </w:p>
        </w:tc>
      </w:tr>
      <w:tr>
        <w:tc>
          <w:tcPr>
            <w:tcW w:type="dxa" w:w="2160"/>
          </w:tcPr>
          <w:p>
            <w:r>
              <w:t>III — Hard</w:t>
            </w:r>
          </w:p>
        </w:tc>
        <w:tc>
          <w:tcPr>
            <w:tcW w:type="dxa" w:w="2160"/>
          </w:tcPr>
          <w:p>
            <w:r>
              <w:t>Most commonly used in practice</w:t>
            </w:r>
          </w:p>
        </w:tc>
        <w:tc>
          <w:tcPr>
            <w:tcW w:type="dxa" w:w="2160"/>
          </w:tcPr>
          <w:p>
            <w:r>
              <w:t>201–340</w:t>
            </w:r>
          </w:p>
        </w:tc>
        <w:tc>
          <w:tcPr>
            <w:tcW w:type="dxa" w:w="2160"/>
          </w:tcPr>
          <w:p>
            <w:r>
              <w:t>High-stress: crowns, thick-veneer crowns, short-span FPDs</w:t>
            </w:r>
          </w:p>
        </w:tc>
      </w:tr>
      <w:tr>
        <w:tc>
          <w:tcPr>
            <w:tcW w:type="dxa" w:w="2160"/>
          </w:tcPr>
          <w:p>
            <w:r>
              <w:t>IV — Extra-hard</w:t>
            </w:r>
          </w:p>
        </w:tc>
        <w:tc>
          <w:tcPr>
            <w:tcW w:type="dxa" w:w="2160"/>
          </w:tcPr>
          <w:p>
            <w:r>
              <w:t>Highest strength, lowest elongation (10%)</w:t>
            </w:r>
          </w:p>
        </w:tc>
        <w:tc>
          <w:tcPr>
            <w:tcW w:type="dxa" w:w="2160"/>
          </w:tcPr>
          <w:p>
            <w:r>
              <w:t>&gt;340</w:t>
            </w:r>
          </w:p>
        </w:tc>
        <w:tc>
          <w:tcPr>
            <w:tcW w:type="dxa" w:w="2160"/>
          </w:tcPr>
          <w:p>
            <w:r>
              <w:t>Very high stress: thin-veneer crowns, long-span FPDs, RPD frameworks</w:t>
            </w:r>
          </w:p>
        </w:tc>
      </w:tr>
    </w:tbl>
    <w:p>
      <w:r>
        <w:t>Elongation (annealed) is 18% for Types I and II, dropping to 12% for Type III and 10% for Type IV — this is why softer, more easily burnished Type I/II alloys are reserved for low-stress margins, while the harder Type III/IV alloys used for crowns and FPDs sacrifice burnishability for strength. [1, p.179]</w:t>
      </w:r>
    </w:p>
    <w:p>
      <w:pPr>
        <w:pStyle w:val="Heading2"/>
      </w:pPr>
      <w:r>
        <w:t>1.2 Exact Alloy Compositions — Noble and Gold-Based Systems</w:t>
      </w:r>
    </w:p>
    <w:p>
      <w:r>
        <w:t>Craig's gives representative weight-percent (wt%) compositions for the high-noble and noble alloy classes: [1, p.179]</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Alloy class</w:t>
            </w:r>
          </w:p>
        </w:tc>
        <w:tc>
          <w:tcPr>
            <w:tcW w:type="dxa" w:w="1440"/>
          </w:tcPr>
          <w:p>
            <w:r>
              <w:t>Ag</w:t>
            </w:r>
          </w:p>
        </w:tc>
        <w:tc>
          <w:tcPr>
            <w:tcW w:type="dxa" w:w="1440"/>
          </w:tcPr>
          <w:p>
            <w:r>
              <w:t>Au</w:t>
            </w:r>
          </w:p>
        </w:tc>
        <w:tc>
          <w:tcPr>
            <w:tcW w:type="dxa" w:w="1440"/>
          </w:tcPr>
          <w:p>
            <w:r>
              <w:t>Cu</w:t>
            </w:r>
          </w:p>
        </w:tc>
        <w:tc>
          <w:tcPr>
            <w:tcW w:type="dxa" w:w="1440"/>
          </w:tcPr>
          <w:p>
            <w:r>
              <w:t>Pd</w:t>
            </w:r>
          </w:p>
        </w:tc>
        <w:tc>
          <w:tcPr>
            <w:tcW w:type="dxa" w:w="1440"/>
          </w:tcPr>
          <w:p>
            <w:r>
              <w:t>Pt</w:t>
            </w:r>
          </w:p>
        </w:tc>
      </w:tr>
      <w:tr>
        <w:tc>
          <w:tcPr>
            <w:tcW w:type="dxa" w:w="1440"/>
          </w:tcPr>
          <w:p>
            <w:r>
              <w:t>HIGH NOBLE — Au-Ag-Pt</w:t>
            </w:r>
          </w:p>
        </w:tc>
        <w:tc>
          <w:tcPr>
            <w:tcW w:type="dxa" w:w="1440"/>
          </w:tcPr>
          <w:p>
            <w:r>
              <w:t>11.5%</w:t>
            </w:r>
          </w:p>
        </w:tc>
        <w:tc>
          <w:tcPr>
            <w:tcW w:type="dxa" w:w="1440"/>
          </w:tcPr>
          <w:p>
            <w:r>
              <w:t>78.1%</w:t>
            </w:r>
          </w:p>
        </w:tc>
        <w:tc>
          <w:tcPr>
            <w:tcW w:type="dxa" w:w="1440"/>
          </w:tcPr>
          <w:p>
            <w:r>
              <w:t>—</w:t>
            </w:r>
          </w:p>
        </w:tc>
        <w:tc>
          <w:tcPr>
            <w:tcW w:type="dxa" w:w="1440"/>
          </w:tcPr>
          <w:p>
            <w:r>
              <w:t>—</w:t>
            </w:r>
          </w:p>
        </w:tc>
        <w:tc>
          <w:tcPr>
            <w:tcW w:type="dxa" w:w="1440"/>
          </w:tcPr>
          <w:p>
            <w:r>
              <w:t>9.9%</w:t>
            </w:r>
          </w:p>
        </w:tc>
      </w:tr>
      <w:tr>
        <w:tc>
          <w:tcPr>
            <w:tcW w:type="dxa" w:w="1440"/>
          </w:tcPr>
          <w:p>
            <w:r>
              <w:t>HIGH NOBLE — Au-Cu-Ag-Pd (I)</w:t>
            </w:r>
          </w:p>
        </w:tc>
        <w:tc>
          <w:tcPr>
            <w:tcW w:type="dxa" w:w="1440"/>
          </w:tcPr>
          <w:p>
            <w:r>
              <w:t>10.0%</w:t>
            </w:r>
          </w:p>
        </w:tc>
        <w:tc>
          <w:tcPr>
            <w:tcW w:type="dxa" w:w="1440"/>
          </w:tcPr>
          <w:p>
            <w:r>
              <w:t>76.0%</w:t>
            </w:r>
          </w:p>
        </w:tc>
        <w:tc>
          <w:tcPr>
            <w:tcW w:type="dxa" w:w="1440"/>
          </w:tcPr>
          <w:p>
            <w:r>
              <w:t>10.5%</w:t>
            </w:r>
          </w:p>
        </w:tc>
        <w:tc>
          <w:tcPr>
            <w:tcW w:type="dxa" w:w="1440"/>
          </w:tcPr>
          <w:p>
            <w:r>
              <w:t>2.4%</w:t>
            </w:r>
          </w:p>
        </w:tc>
        <w:tc>
          <w:tcPr>
            <w:tcW w:type="dxa" w:w="1440"/>
          </w:tcPr>
          <w:p>
            <w:r>
              <w:t>0.1%</w:t>
            </w:r>
          </w:p>
        </w:tc>
      </w:tr>
      <w:tr>
        <w:tc>
          <w:tcPr>
            <w:tcW w:type="dxa" w:w="1440"/>
          </w:tcPr>
          <w:p>
            <w:r>
              <w:t>HIGH NOBLE — Au-Cu-Ag-Pd (II)</w:t>
            </w:r>
          </w:p>
        </w:tc>
        <w:tc>
          <w:tcPr>
            <w:tcW w:type="dxa" w:w="1440"/>
          </w:tcPr>
          <w:p>
            <w:r>
              <w:t>25.0%</w:t>
            </w:r>
          </w:p>
        </w:tc>
        <w:tc>
          <w:tcPr>
            <w:tcW w:type="dxa" w:w="1440"/>
          </w:tcPr>
          <w:p>
            <w:r>
              <w:t>56.0%</w:t>
            </w:r>
          </w:p>
        </w:tc>
        <w:tc>
          <w:tcPr>
            <w:tcW w:type="dxa" w:w="1440"/>
          </w:tcPr>
          <w:p>
            <w:r>
              <w:t>11.8%</w:t>
            </w:r>
          </w:p>
        </w:tc>
        <w:tc>
          <w:tcPr>
            <w:tcW w:type="dxa" w:w="1440"/>
          </w:tcPr>
          <w:p>
            <w:r>
              <w:t>5.0%</w:t>
            </w:r>
          </w:p>
        </w:tc>
        <w:tc>
          <w:tcPr>
            <w:tcW w:type="dxa" w:w="1440"/>
          </w:tcPr>
          <w:p>
            <w:r>
              <w:t>0.4%</w:t>
            </w:r>
          </w:p>
        </w:tc>
      </w:tr>
      <w:tr>
        <w:tc>
          <w:tcPr>
            <w:tcW w:type="dxa" w:w="1440"/>
          </w:tcPr>
          <w:p>
            <w:r>
              <w:t>NOBLE — Au-Cu-Ag-Pd (III)</w:t>
            </w:r>
          </w:p>
        </w:tc>
        <w:tc>
          <w:tcPr>
            <w:tcW w:type="dxa" w:w="1440"/>
          </w:tcPr>
          <w:p>
            <w:r>
              <w:t>47.0%</w:t>
            </w:r>
          </w:p>
        </w:tc>
        <w:tc>
          <w:tcPr>
            <w:tcW w:type="dxa" w:w="1440"/>
          </w:tcPr>
          <w:p>
            <w:r>
              <w:t>40.0%</w:t>
            </w:r>
          </w:p>
        </w:tc>
        <w:tc>
          <w:tcPr>
            <w:tcW w:type="dxa" w:w="1440"/>
          </w:tcPr>
          <w:p>
            <w:r>
              <w:t>7.5%</w:t>
            </w:r>
          </w:p>
        </w:tc>
        <w:tc>
          <w:tcPr>
            <w:tcW w:type="dxa" w:w="1440"/>
          </w:tcPr>
          <w:p>
            <w:r>
              <w:t>4.0%</w:t>
            </w:r>
          </w:p>
        </w:tc>
        <w:tc>
          <w:tcPr>
            <w:tcW w:type="dxa" w:w="1440"/>
          </w:tcPr>
          <w:p>
            <w:r>
              <w:t>—</w:t>
            </w:r>
          </w:p>
        </w:tc>
      </w:tr>
    </w:tbl>
    <w:p/>
    <w:p>
      <w:r>
        <w:t>Sikri's gives the older, still-taught 4-type gold alloy classification with exact clinical-application-linked compositions [3, p.178]: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Gold alloy type</w:t>
            </w:r>
          </w:p>
        </w:tc>
        <w:tc>
          <w:tcPr>
            <w:tcW w:type="dxa" w:w="2880"/>
          </w:tcPr>
          <w:p>
            <w:r>
              <w:t>Composition (Au / Ag / Cu)</w:t>
            </w:r>
          </w:p>
        </w:tc>
        <w:tc>
          <w:tcPr>
            <w:tcW w:type="dxa" w:w="2880"/>
          </w:tcPr>
          <w:p>
            <w:r>
              <w:t>Clinical use</w:t>
            </w:r>
          </w:p>
        </w:tc>
      </w:tr>
      <w:tr>
        <w:tc>
          <w:tcPr>
            <w:tcW w:type="dxa" w:w="2880"/>
          </w:tcPr>
          <w:p>
            <w:r>
              <w:t>Type 1</w:t>
            </w:r>
          </w:p>
        </w:tc>
        <w:tc>
          <w:tcPr>
            <w:tcW w:type="dxa" w:w="2880"/>
          </w:tcPr>
          <w:p>
            <w:r>
              <w:t>83% Au, 10% Ag, 6% Cu</w:t>
            </w:r>
          </w:p>
        </w:tc>
        <w:tc>
          <w:tcPr>
            <w:tcW w:type="dxa" w:w="2880"/>
          </w:tcPr>
          <w:p>
            <w:r>
              <w:t>Inlays and onlays</w:t>
            </w:r>
          </w:p>
        </w:tc>
      </w:tr>
      <w:tr>
        <w:tc>
          <w:tcPr>
            <w:tcW w:type="dxa" w:w="2880"/>
          </w:tcPr>
          <w:p>
            <w:r>
              <w:t>Type 2</w:t>
            </w:r>
          </w:p>
        </w:tc>
        <w:tc>
          <w:tcPr>
            <w:tcW w:type="dxa" w:w="2880"/>
          </w:tcPr>
          <w:p>
            <w:r>
              <w:t>77% Au, 14% Ag, 7% Cu</w:t>
            </w:r>
          </w:p>
        </w:tc>
        <w:tc>
          <w:tcPr>
            <w:tcW w:type="dxa" w:w="2880"/>
          </w:tcPr>
          <w:p>
            <w:r>
              <w:t>Inlays and onlays</w:t>
            </w:r>
          </w:p>
        </w:tc>
      </w:tr>
      <w:tr>
        <w:tc>
          <w:tcPr>
            <w:tcW w:type="dxa" w:w="2880"/>
          </w:tcPr>
          <w:p>
            <w:r>
              <w:t>Type 3</w:t>
            </w:r>
          </w:p>
        </w:tc>
        <w:tc>
          <w:tcPr>
            <w:tcW w:type="dxa" w:w="2880"/>
          </w:tcPr>
          <w:p>
            <w:r>
              <w:t>75% Au, 11% Ag, 9% Cu</w:t>
            </w:r>
          </w:p>
        </w:tc>
        <w:tc>
          <w:tcPr>
            <w:tcW w:type="dxa" w:w="2880"/>
          </w:tcPr>
          <w:p>
            <w:r>
              <w:t>Crown and bridge prostheses</w:t>
            </w:r>
          </w:p>
        </w:tc>
      </w:tr>
      <w:tr>
        <w:tc>
          <w:tcPr>
            <w:tcW w:type="dxa" w:w="2880"/>
          </w:tcPr>
          <w:p>
            <w:r>
              <w:t>Type 4</w:t>
            </w:r>
          </w:p>
        </w:tc>
        <w:tc>
          <w:tcPr>
            <w:tcW w:type="dxa" w:w="2880"/>
          </w:tcPr>
          <w:p>
            <w:r>
              <w:t>69% Au, 25% Ag, 10% Cu</w:t>
            </w:r>
          </w:p>
        </w:tc>
        <w:tc>
          <w:tcPr>
            <w:tcW w:type="dxa" w:w="2880"/>
          </w:tcPr>
          <w:p>
            <w:r>
              <w:t>Partial denture frameworks</w:t>
            </w:r>
          </w:p>
        </w:tc>
      </w:tr>
    </w:tbl>
    <w:p>
      <w:r>
        <w:t>Many gold-based alloys also carry a small amount (1.0-5.0%) of palladium, added to improve tarnish/corrosion resistance without a significant color change; silver and zinc are added in trace amounts to improve physical properties. Note that silver, despite its widespread use, is more reactive to air/oxygen and is not itself classified as a noble metal. [3, p.178]</w:t>
      </w:r>
    </w:p>
    <w:p>
      <w:pPr>
        <w:pStyle w:val="Heading2"/>
      </w:pPr>
      <w:r>
        <w:t>1.3 Palladium and Base-Metal Alloys</w:t>
      </w:r>
    </w:p>
    <w:p>
      <w:r>
        <w:t>Palladium alloys are generally white/silvery in appearance (unless gold content exceeds 40% and palladium exceeds 6%, in which case the color shifts). Silver-palladium alloys typically contain 75% silver/25% palladium, while palladium-silver alloys reverse that ratio. Both palladium and silver absorb oxygen when molten, which can produce porous castings if not managed carefully. Palladium's high melting point (1170-1190°C) is clinically important because it facilitates the high firing temperature (950-1000°C) required for palladium-fused-to-porcelain restorations. [3, p.178]</w:t>
      </w:r>
    </w:p>
    <w:p>
      <w:r>
        <w:t>Base-metal alloys — the metals reactive to air/oxygen, sometimes called non-noble or non-precious alloys — are commonly nickel and/or cobalt combined with approximately 15-20% chromium; the chromium imparts a passivating effect that confers corrosion resistance. [3, p.178]</w:t>
      </w:r>
    </w:p>
    <w:p>
      <w:r>
        <w:br w:type="page"/>
      </w:r>
    </w:p>
    <w:p>
      <w:pPr>
        <w:pStyle w:val="Heading2"/>
      </w:pPr>
      <w:r>
        <w:t>1.4 Historical Classification and Corrosion-Resistance Terminology</w:t>
      </w:r>
    </w:p>
    <w:p>
      <w:r>
        <w:t>Sturdevant's frames alloy selection around corrosion resistance rather than composition alone, which is a genuinely different and useful lens: corrosion resistance is achieved by either immune or passivating alloy systems. [5, p.222]</w:t>
      </w:r>
    </w:p>
    <w:p>
      <w:r>
        <w:rPr>
          <w:b/>
        </w:rPr>
        <w:t>Noble metal alloys</w:t>
      </w:r>
      <w:r>
        <w:t xml:space="preserve"> are very resistant to both corrosion and electrochemical corrosion, and are based on gold, platinum, palladium, rhodium, iridium, ruthenium, or osmium. </w:t>
      </w:r>
      <w:r>
        <w:rPr>
          <w:b/>
        </w:rPr>
        <w:t>Precious metal alloys</w:t>
      </w:r>
      <w:r>
        <w:t xml:space="preserve"> is a broader economic term — it includes all the noble metals plus silver, regardless of corrosion behavior. </w:t>
      </w:r>
      <w:r>
        <w:rPr>
          <w:b/>
        </w:rPr>
        <w:t>Low-gold alloys</w:t>
      </w:r>
      <w:r>
        <w:t xml:space="preserve"> contain only 3-50 wt% gold or other noble-metal elements; if less than 75 wt% of the atoms in a gold alloy are corrosion-resistant (Au, Pt, or Pd), overall corrosion resistance drops sharply — these are cost-reduced alloys where the actual gold content can be deceptively low. </w:t>
      </w:r>
      <w:r>
        <w:rPr>
          <w:b/>
        </w:rPr>
        <w:t>Gold substitute alloys</w:t>
      </w:r>
      <w:r>
        <w:t xml:space="preserve"> are precious-metal alloys containing no gold at all — the best examples are Ag-Pd systems and other Pd alloys. [5, p.222]</w:t>
      </w:r>
    </w:p>
    <w:p>
      <w:r>
        <w:t>Base metal alloys corrode less by chemical immunity and more by surface passivation: formulated with 18-28 wt% chromium, they develop a thin, tightly adherent Cr2O3 film that inhibits further corrosion. This film is brittle and can be ruptured, but re-forms immediately as long as sufficient chromium remains locally available in the alloy. Titanium (and Ti-6Al-4V) passivates by forming TiO2 instead, and is used specifically for implant systems because this oxide layer is biocompatible and permits osseointegration with bone. [5, p.222]</w:t>
      </w:r>
    </w:p>
    <w:p>
      <w:r>
        <w:rPr>
          <w:b/>
        </w:rPr>
        <w:t xml:space="preserve">Historical origin of the Type I-IV system: </w:t>
      </w:r>
      <w:r>
        <w:t>the ADA classification of gold casting alloys was originally defined in the 1930s as Types A, B, and C, based on relative noble-metal concentration, fusion temperature, and mechanical properties (hardness, elongation, yield point). The specification was later revised and extended to today's four-type system — Types I, II, and III correspond directly to the original A, B, and C, while Type IV was newly added to cover higher-strength applications the original three types didn't reach. [5, p.223]</w:t>
      </w:r>
    </w:p>
    <w:p>
      <w:pPr>
        <w:pStyle w:val="Heading2"/>
      </w:pPr>
      <w:r>
        <w:t>1.5 ISO Gold Alloy Types as a Compositional Trend, and Fabrication Chemistry</w:t>
      </w:r>
    </w:p>
    <w:p>
      <w:r>
        <w:t>Sections 1.1-1.2 above gave Craig's ADA Type I-IV mechanical grading and Sikri's four fixed-composition gold alloy types. Advanced Operative Dentistry adds a complementary framing: the ISO also defines four gold alloy types (1-4), all containing gold, silver, and copper, with platinum and palladium additionally present in types 2, 3, and 4 — and rather than being four unrelated compositions, they form a continuous trend as the type number increases: gold content falls from 85% to 65%, silver falls from 11% to 9%, while copper rises from 3% to 15% and platinum/palladium rises from 2% to 10%. [6, p.117]</w:t>
      </w:r>
    </w:p>
    <w:p>
      <w:r>
        <w:t>This compositional trend has a direct mechanical consequence: increasing alloy type number increases strength and hardness, but decreases ductility and corrosion resistance — the same trade-off Section 1.1's ADA Type I-IV mechanical classification shows, now explained by its compositional cause rather than only its mechanical effect. [6, p.117]</w:t>
      </w:r>
    </w:p>
    <w:p>
      <w:r>
        <w:rPr>
          <w:b/>
        </w:rPr>
        <w:t xml:space="preserve">Type-to-indication mapping: </w:t>
      </w:r>
      <w:r>
        <w:t>Type 1 alloys suit low-functional-stress situations such as simple inlays; Type 2 is recommended once cuspal coverage is involved, since this demands higher stress-bearing capability than a simple inlay. Types 3 and 4 are reserved for high-strength applications such as crown and bridgework — and, notably, their relatively high copper content also makes them suitable for onlays or palatal veneers bonded with a chemically adhesive luting resin. [6, p.117]</w:t>
      </w:r>
    </w:p>
    <w:p>
      <w:r>
        <w:rPr>
          <w:b/>
        </w:rPr>
        <w:t xml:space="preserve">Oxidation treatment for adhesive bonding: </w:t>
      </w:r>
      <w:r>
        <w:t>adhesion of a gold restoration to tooth structure via resin luting cement can be enhanced by returning the restoration to the furnace, after try-in, for oxidation — 10 minutes at 400°C. This is the same underlying chemistry later referenced for gold veneers in Sub-Module 5.1 (oxidized/tin-plated gold surfaces, later superseded by sandblasting-plus-Panavia protocols). [6, p.117]</w:t>
      </w:r>
    </w:p>
    <w:p>
      <w:r>
        <w:rPr>
          <w:b/>
        </w:rPr>
        <w:t xml:space="preserve">Biocompatibility — a cross-sensitivity note: </w:t>
      </w:r>
      <w:r>
        <w:t>gold alloy biocompatibility is generally good and true gold allergy is rare, but dental technicians with a known nickel sensitivity are considered at heightened risk of palladium allergy specifically — relevant given how many gold-based casting alloys carry palladium as a minor constituent (Section 1.2 above). [6, p.117]</w:t>
      </w:r>
    </w:p>
    <w:p>
      <w:r>
        <w:rPr>
          <w:b/>
        </w:rPr>
        <w:t xml:space="preserve">Die stone expansion — why a cast restoration reliably achieves full seat: </w:t>
      </w:r>
      <w:r>
        <w:t>once an impression of the prepared tooth is taken, the laboratory casts a die stone model. Die stone is a gypsum-based material (calcium sulphate dihydrate), processed to be harder and to expand less on setting than conventional plaster: die stone expands only 0.05-0.10% on setting, compared to plaster's 0.2-0.3%. This small, deliberate expansion produces a microscopically larger die — and therefore a microscopically larger casting — than the actual tooth preparation, which is precisely what ensures the finished restoration achieves a full seat at try-in rather than binding short of full seating. [6, p.117]</w:t>
      </w:r>
    </w:p>
    <w:p>
      <w:pPr>
        <w:pStyle w:val="Heading1"/>
      </w:pPr>
      <w:r>
        <w:t>2. Ceramic Materials</w:t>
      </w:r>
    </w:p>
    <w:p>
      <w:r>
        <w:t>Craig's organizes dental ceramics by application, fabrication method (soft-machined, hard-machined, heat-pressed, sintered), and dominant crystalline phase — this classification is the clearest way to understand why the same base chemistry (e.g. lithium disilicate) can appear as both a CAD/CAM block and a pressable ingot. [1, p.224]</w:t>
      </w:r>
    </w:p>
    <w:p>
      <w:pPr>
        <w:pStyle w:val="Heading2"/>
      </w:pPr>
      <w:r>
        <w:t>2.1 Feldspathic Porcelain</w:t>
      </w:r>
    </w:p>
    <w:p>
      <w:r>
        <w:t>Composed of feldspar, quartz, and kaolin, feldspathic porcelain is the historical baseline against which every newer ceramic system is measured. Its mean flexural strength is only 60-80 MPa, its shear strength 110 MPa, its diametral tensile strength just 34 MPa, and its compressive strength about 172 MPa (Knoop hardness 460 kg/mm²). Its fracture toughness (0.78 MPa·m0.5) is essentially identical to soda-lime glass. Despite this low strength, metal-ceramic restorations built on a feldspathic veneer have a higher long-term survival probability than several all-ceramic systems — because the metal substructure, not the porcelain, carries the load. [1, p.213]</w:t>
      </w:r>
    </w:p>
    <w:p>
      <w:r>
        <w:t>Clinically, this low fracture toughness is also why traditional feldspathic porcelain is highly abrasive to opposing dentition — a newer generation of low-fusing porcelains has been shown to wear enamel significantly less. [4, PDF p.997]</w:t>
      </w:r>
    </w:p>
    <w:p>
      <w:pPr>
        <w:pStyle w:val="Heading2"/>
      </w:pPr>
      <w:r>
        <w:t>2.2 Leucite-Reinforced Ceramics</w:t>
      </w:r>
    </w:p>
    <w:p>
      <w:r>
        <w:t>Adding a leucite (KAlSi2O6) crystalline phase — the strategy behind the IPS Empress system — raises flexural strength to around 120 MPa, with fracture toughness improving modestly to 1.2 MPa·m0.5. [1, p.213] Clinically, the first-generation Empress pressable ceramic showed decreased wear of opposing enamel compared with traditional and low-fusing porcelains in laboratory testing. [4, PDF p.997]</w:t>
      </w:r>
    </w:p>
    <w:p>
      <w:pPr>
        <w:pStyle w:val="Heading2"/>
      </w:pPr>
      <w:r>
        <w:t>2.3 Lithium Disilicate Ceramics</w:t>
      </w:r>
    </w:p>
    <w:p>
      <w:r>
        <w:t>Lithium disilicate (Li2Si2O5) ceramics — available both as hard-machined CAD/CAM blocks (IPS e.max CAD) and heat-pressed ingots (IPS e.max Press) — achieve a flexural strength of 262-420 MPa and a fracture toughness of 2.75 MPa·m0.5, a substantial jump over leucite-reinforced systems while retaining excellent esthetics. Their modulus of elasticity is around 110 GPa. [1, p.213]</w:t>
      </w:r>
    </w:p>
    <w:p>
      <w:r>
        <w:t>The successor system, IPS e.max/Empress 2, showed a further clinical advance: almost no wear of opposing enamel, confirmed both in vitro and in a 6-month in vivo study — if long-term studies confirm this low wear, Summitt's frames it as a genuinely significant advance for posterior ceramic restorations. [4, PDF p.997]</w:t>
      </w:r>
    </w:p>
    <w:p>
      <w:pPr>
        <w:pStyle w:val="Heading2"/>
      </w:pPr>
      <w:r>
        <w:t>2.4 Zirconia (Yttria-Stabilized)</w:t>
      </w:r>
    </w:p>
    <w:p>
      <w:r>
        <w:t>Tetragonal zirconia (3Y-TZP) is the strongest ceramic available for dental use: flexural strength of 900-1500 MPa and fracture toughness greater than 6.0 MPa·m0.5 — roughly 8x the fracture toughness of feldspathic porcelain. Its modulus of elasticity is about 210 GPa (compare 70 GPa for feldspathic porcelain and 350 GPa for alumina-based ceramics). [1, p.213]</w:t>
      </w:r>
    </w:p>
    <w:p>
      <w:r>
        <w:rPr>
          <w:b/>
        </w:rPr>
        <w:t xml:space="preserve">Opacity: </w:t>
      </w:r>
      <w:r>
        <w:t>3Y-TZP's strength comes at the cost of high opacity, historically forcing zirconia to be used only as a veneered coping (core ceramic layered with matched-thermal-expansion porcelain), with early clinical reports of cracking/delamination at the veneer-core interface — attributed to low thermal conductivity in both materials producing transient thermal-gradient stresses during heating/cooling. [1, p.213]</w:t>
      </w:r>
    </w:p>
    <w:p>
      <w:r>
        <w:rPr>
          <w:b/>
        </w:rPr>
        <w:t xml:space="preserve">Monolithic zirconia and translucency: </w:t>
      </w:r>
      <w:r>
        <w:t>The opacity problem has been substantially reduced by decreasing coping thickness to 0.4-0.5 mm and by developing more translucent zirconia formulations — either by reducing alumina content to ≤0.05 wt%, or by adding higher amounts of yttria (up to 5.3 mol%) to stabilize a cubic (rather than tetragonal) crystalline phase, which is optically isotropic and therefore more translucent. This translucent cubic zirconia trades some strength for esthetics: flexural strength drops to 600-700 MPa and fracture toughness to 2.4 MPa·m0.5 (reported value: 609 MPa flexural strength). [1, p.213]</w:t>
      </w:r>
    </w:p>
    <w:p>
      <w:r>
        <w:rPr>
          <w:b/>
        </w:rPr>
        <w:t xml:space="preserve">Sintering shrinkage: </w:t>
      </w:r>
      <w:r>
        <w:t>Machined zirconia restorations shrink approximately 25% during high-temperature sintering — this is compensated for at the design stage by computerized enlargement of the restoration before milling, not corrected afterward. [1, p.213]</w:t>
      </w:r>
    </w:p>
    <w:p>
      <w:r>
        <w:rPr>
          <w:b/>
        </w:rPr>
        <w:t xml:space="preserve">Metastability caution: </w:t>
      </w:r>
      <w:r>
        <w:t>Because transformability (tetragonal-to-monoclinic) increases with grain size, surface-altering treatments like grinding or air abrasion can trigger this transformation — the immediate effect is beneficial (surface compressive stresses), but the combination of surface defects and underlying tensile stresses can be detrimental long-term, which is why manufacturer instructions for surface treatment of partially-stabilized zirconia should be followed exactly rather than improvised. [1, p.213]</w:t>
      </w:r>
    </w:p>
    <w:p>
      <w:pPr>
        <w:pStyle w:val="Heading2"/>
      </w:pPr>
      <w:r>
        <w:t>2.5 Comparative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Material</w:t>
            </w:r>
          </w:p>
        </w:tc>
        <w:tc>
          <w:tcPr>
            <w:tcW w:type="dxa" w:w="2160"/>
          </w:tcPr>
          <w:p>
            <w:r>
              <w:t>Flexural strength (MPa)</w:t>
            </w:r>
          </w:p>
        </w:tc>
        <w:tc>
          <w:tcPr>
            <w:tcW w:type="dxa" w:w="2160"/>
          </w:tcPr>
          <w:p>
            <w:r>
              <w:t>Fracture toughness (MPa·m0.5)</w:t>
            </w:r>
          </w:p>
        </w:tc>
        <w:tc>
          <w:tcPr>
            <w:tcW w:type="dxa" w:w="2160"/>
          </w:tcPr>
          <w:p>
            <w:r>
              <w:t>Modulus of elasticity (GPa)</w:t>
            </w:r>
          </w:p>
        </w:tc>
      </w:tr>
      <w:tr>
        <w:tc>
          <w:tcPr>
            <w:tcW w:type="dxa" w:w="2160"/>
          </w:tcPr>
          <w:p>
            <w:r>
              <w:t>Feldspathic porcelain</w:t>
            </w:r>
          </w:p>
        </w:tc>
        <w:tc>
          <w:tcPr>
            <w:tcW w:type="dxa" w:w="2160"/>
          </w:tcPr>
          <w:p>
            <w:r>
              <w:t>60–80</w:t>
            </w:r>
          </w:p>
        </w:tc>
        <w:tc>
          <w:tcPr>
            <w:tcW w:type="dxa" w:w="2160"/>
          </w:tcPr>
          <w:p>
            <w:r>
              <w:t>0.78</w:t>
            </w:r>
          </w:p>
        </w:tc>
        <w:tc>
          <w:tcPr>
            <w:tcW w:type="dxa" w:w="2160"/>
          </w:tcPr>
          <w:p>
            <w:r>
              <w:t>70</w:t>
            </w:r>
          </w:p>
        </w:tc>
      </w:tr>
      <w:tr>
        <w:tc>
          <w:tcPr>
            <w:tcW w:type="dxa" w:w="2160"/>
          </w:tcPr>
          <w:p>
            <w:r>
              <w:t>Leucite-reinforced (Empress)</w:t>
            </w:r>
          </w:p>
        </w:tc>
        <w:tc>
          <w:tcPr>
            <w:tcW w:type="dxa" w:w="2160"/>
          </w:tcPr>
          <w:p>
            <w:r>
              <w:t>~120</w:t>
            </w:r>
          </w:p>
        </w:tc>
        <w:tc>
          <w:tcPr>
            <w:tcW w:type="dxa" w:w="2160"/>
          </w:tcPr>
          <w:p>
            <w:r>
              <w:t>1.2</w:t>
            </w:r>
          </w:p>
        </w:tc>
        <w:tc>
          <w:tcPr>
            <w:tcW w:type="dxa" w:w="2160"/>
          </w:tcPr>
          <w:p>
            <w:r>
              <w:t>—</w:t>
            </w:r>
          </w:p>
        </w:tc>
      </w:tr>
      <w:tr>
        <w:tc>
          <w:tcPr>
            <w:tcW w:type="dxa" w:w="2160"/>
          </w:tcPr>
          <w:p>
            <w:r>
              <w:t>Lithium disilicate (e.max)</w:t>
            </w:r>
          </w:p>
        </w:tc>
        <w:tc>
          <w:tcPr>
            <w:tcW w:type="dxa" w:w="2160"/>
          </w:tcPr>
          <w:p>
            <w:r>
              <w:t>262–420</w:t>
            </w:r>
          </w:p>
        </w:tc>
        <w:tc>
          <w:tcPr>
            <w:tcW w:type="dxa" w:w="2160"/>
          </w:tcPr>
          <w:p>
            <w:r>
              <w:t>2.75</w:t>
            </w:r>
          </w:p>
        </w:tc>
        <w:tc>
          <w:tcPr>
            <w:tcW w:type="dxa" w:w="2160"/>
          </w:tcPr>
          <w:p>
            <w:r>
              <w:t>110</w:t>
            </w:r>
          </w:p>
        </w:tc>
      </w:tr>
      <w:tr>
        <w:tc>
          <w:tcPr>
            <w:tcW w:type="dxa" w:w="2160"/>
          </w:tcPr>
          <w:p>
            <w:r>
              <w:t>Zirconia, 3Y-TZP tetragonal</w:t>
            </w:r>
          </w:p>
        </w:tc>
        <w:tc>
          <w:tcPr>
            <w:tcW w:type="dxa" w:w="2160"/>
          </w:tcPr>
          <w:p>
            <w:r>
              <w:t>900–1500</w:t>
            </w:r>
          </w:p>
        </w:tc>
        <w:tc>
          <w:tcPr>
            <w:tcW w:type="dxa" w:w="2160"/>
          </w:tcPr>
          <w:p>
            <w:r>
              <w:t>&gt;6.0</w:t>
            </w:r>
          </w:p>
        </w:tc>
        <w:tc>
          <w:tcPr>
            <w:tcW w:type="dxa" w:w="2160"/>
          </w:tcPr>
          <w:p>
            <w:r>
              <w:t>210</w:t>
            </w:r>
          </w:p>
        </w:tc>
      </w:tr>
    </w:tbl>
    <w:p>
      <w:r>
        <w:rPr>
          <w:i/>
        </w:rPr>
        <w:t>Data compiled from Craig's Table 11.2. [1, p.213]</w:t>
      </w:r>
    </w:p>
    <w:p>
      <w:r>
        <w:br w:type="page"/>
      </w:r>
    </w:p>
    <w:p>
      <w:pPr>
        <w:pStyle w:val="Heading2"/>
      </w:pPr>
      <w:r>
        <w:t>2.6 Manufacturing Method as a Classification Axis</w:t>
      </w:r>
    </w:p>
    <w:p>
      <w:r>
        <w:t>Two texts not previously drawn on for this sub-module — Sturdevant's CAD/CAM chapter and Advanced Operative Dentistry (Ricketts) — both classify ceramic systems by how they are fabricated rather than by crystalline phase, which is a complementary axis to Section 2's phase-based classification and matters clinically because manufacturing method determines what strength and margin type is achievable chairside versus in a lab.</w:t>
      </w:r>
    </w:p>
    <w:p>
      <w:r>
        <w:rPr>
          <w:b/>
        </w:rPr>
        <w:t xml:space="preserve">Copy milling vs. CAD/CAM milling: </w:t>
      </w:r>
      <w:r>
        <w:t>Sturdevant's distinguishes two machining approaches. Copy milling uses a physical replica (wax, plastic, stone, or metal) of the desired restoration form as a guide — a finger stylus traces the replica's surface, and the traced positions drive a milling tool cutting an equivalent block of restorative material. This approach can machine materials that are otherwise difficult to process, such as titanium (high melting point, prone to excessive oxidation during casting, but easily and inexpensively copy-milled). CAD/CAM milling instead digitizes the tooth preparation directly (or a pattern of the restoration) to build a 3-D computer model, which a computer then translates into milling-tool instructions. Five stages are involved in principle: computerized surface digitization, CAD, CAM, computer-aided esthetics, and computer-aided finishing — the last two remain the most technically difficult and least automated. [5, p.230]</w:t>
      </w:r>
    </w:p>
    <w:p>
      <w:r>
        <w:t>Sturdevant's gives circa-2005 mechanical property data for five specific machinable materials actually used with CAD/CAM and copy-milling systems, which is a useful cross-check against Craig's more recent Table 11.2 data in Section 2.5: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Property</w:t>
            </w:r>
          </w:p>
        </w:tc>
        <w:tc>
          <w:tcPr>
            <w:tcW w:type="dxa" w:w="1440"/>
          </w:tcPr>
          <w:p>
            <w:r>
              <w:t>Vita Mark II (feldspathic)</w:t>
            </w:r>
          </w:p>
        </w:tc>
        <w:tc>
          <w:tcPr>
            <w:tcW w:type="dxa" w:w="1440"/>
          </w:tcPr>
          <w:p>
            <w:r>
              <w:t>MZ100 (composite)</w:t>
            </w:r>
          </w:p>
        </w:tc>
        <w:tc>
          <w:tcPr>
            <w:tcW w:type="dxa" w:w="1440"/>
          </w:tcPr>
          <w:p>
            <w:r>
              <w:t>Procad (leucite-reinforced)</w:t>
            </w:r>
          </w:p>
        </w:tc>
        <w:tc>
          <w:tcPr>
            <w:tcW w:type="dxa" w:w="1440"/>
          </w:tcPr>
          <w:p>
            <w:r>
              <w:t>In-Ceram Alumina (glass-infiltrated alumina)</w:t>
            </w:r>
          </w:p>
        </w:tc>
        <w:tc>
          <w:tcPr>
            <w:tcW w:type="dxa" w:w="1440"/>
          </w:tcPr>
          <w:p>
            <w:r>
              <w:t>Lava (zirconia)</w:t>
            </w:r>
          </w:p>
        </w:tc>
      </w:tr>
      <w:tr>
        <w:tc>
          <w:tcPr>
            <w:tcW w:type="dxa" w:w="1440"/>
          </w:tcPr>
          <w:p>
            <w:r>
              <w:t>Hardness (GPa)</w:t>
            </w:r>
          </w:p>
        </w:tc>
        <w:tc>
          <w:tcPr>
            <w:tcW w:type="dxa" w:w="1440"/>
          </w:tcPr>
          <w:p>
            <w:r>
              <w:t>6.9</w:t>
            </w:r>
          </w:p>
        </w:tc>
        <w:tc>
          <w:tcPr>
            <w:tcW w:type="dxa" w:w="1440"/>
          </w:tcPr>
          <w:p>
            <w:r>
              <w:t>—</w:t>
            </w:r>
          </w:p>
        </w:tc>
        <w:tc>
          <w:tcPr>
            <w:tcW w:type="dxa" w:w="1440"/>
          </w:tcPr>
          <w:p>
            <w:r>
              <w:t>6.8</w:t>
            </w:r>
          </w:p>
        </w:tc>
        <w:tc>
          <w:tcPr>
            <w:tcW w:type="dxa" w:w="1440"/>
          </w:tcPr>
          <w:p>
            <w:r>
              <w:t>9.8</w:t>
            </w:r>
          </w:p>
        </w:tc>
        <w:tc>
          <w:tcPr>
            <w:tcW w:type="dxa" w:w="1440"/>
          </w:tcPr>
          <w:p>
            <w:r>
              <w:t>10</w:t>
            </w:r>
          </w:p>
        </w:tc>
      </w:tr>
      <w:tr>
        <w:tc>
          <w:tcPr>
            <w:tcW w:type="dxa" w:w="1440"/>
          </w:tcPr>
          <w:p>
            <w:r>
              <w:t>Flexural modulus (GPa)</w:t>
            </w:r>
          </w:p>
        </w:tc>
        <w:tc>
          <w:tcPr>
            <w:tcW w:type="dxa" w:w="1440"/>
          </w:tcPr>
          <w:p>
            <w:r>
              <w:t>73</w:t>
            </w:r>
          </w:p>
        </w:tc>
        <w:tc>
          <w:tcPr>
            <w:tcW w:type="dxa" w:w="1440"/>
          </w:tcPr>
          <w:p>
            <w:r>
              <w:t>14</w:t>
            </w:r>
          </w:p>
        </w:tc>
        <w:tc>
          <w:tcPr>
            <w:tcW w:type="dxa" w:w="1440"/>
          </w:tcPr>
          <w:p>
            <w:r>
              <w:t>78</w:t>
            </w:r>
          </w:p>
        </w:tc>
        <w:tc>
          <w:tcPr>
            <w:tcW w:type="dxa" w:w="1440"/>
          </w:tcPr>
          <w:p>
            <w:r>
              <w:t>286</w:t>
            </w:r>
          </w:p>
        </w:tc>
        <w:tc>
          <w:tcPr>
            <w:tcW w:type="dxa" w:w="1440"/>
          </w:tcPr>
          <w:p>
            <w:r>
              <w:t>210</w:t>
            </w:r>
          </w:p>
        </w:tc>
      </w:tr>
      <w:tr>
        <w:tc>
          <w:tcPr>
            <w:tcW w:type="dxa" w:w="1440"/>
          </w:tcPr>
          <w:p>
            <w:r>
              <w:t>3-pt flexure strength (MPa)</w:t>
            </w:r>
          </w:p>
        </w:tc>
        <w:tc>
          <w:tcPr>
            <w:tcW w:type="dxa" w:w="1440"/>
          </w:tcPr>
          <w:p>
            <w:r>
              <w:t>122</w:t>
            </w:r>
          </w:p>
        </w:tc>
        <w:tc>
          <w:tcPr>
            <w:tcW w:type="dxa" w:w="1440"/>
          </w:tcPr>
          <w:p>
            <w:r>
              <w:t>150</w:t>
            </w:r>
          </w:p>
        </w:tc>
        <w:tc>
          <w:tcPr>
            <w:tcW w:type="dxa" w:w="1440"/>
          </w:tcPr>
          <w:p>
            <w:r>
              <w:t>160</w:t>
            </w:r>
          </w:p>
        </w:tc>
        <w:tc>
          <w:tcPr>
            <w:tcW w:type="dxa" w:w="1440"/>
          </w:tcPr>
          <w:p>
            <w:r>
              <w:t>446</w:t>
            </w:r>
          </w:p>
        </w:tc>
        <w:tc>
          <w:tcPr>
            <w:tcW w:type="dxa" w:w="1440"/>
          </w:tcPr>
          <w:p>
            <w:r>
              <w:t>1625</w:t>
            </w:r>
          </w:p>
        </w:tc>
      </w:tr>
      <w:tr>
        <w:tc>
          <w:tcPr>
            <w:tcW w:type="dxa" w:w="1440"/>
          </w:tcPr>
          <w:p>
            <w:r>
              <w:t>Fracture toughness (MPa·m0.5)</w:t>
            </w:r>
          </w:p>
        </w:tc>
        <w:tc>
          <w:tcPr>
            <w:tcW w:type="dxa" w:w="1440"/>
          </w:tcPr>
          <w:p>
            <w:r>
              <w:t>1.3</w:t>
            </w:r>
          </w:p>
        </w:tc>
        <w:tc>
          <w:tcPr>
            <w:tcW w:type="dxa" w:w="1440"/>
          </w:tcPr>
          <w:p>
            <w:r>
              <w:t>1.4</w:t>
            </w:r>
          </w:p>
        </w:tc>
        <w:tc>
          <w:tcPr>
            <w:tcW w:type="dxa" w:w="1440"/>
          </w:tcPr>
          <w:p>
            <w:r>
              <w:t>1.4</w:t>
            </w:r>
          </w:p>
        </w:tc>
        <w:tc>
          <w:tcPr>
            <w:tcW w:type="dxa" w:w="1440"/>
          </w:tcPr>
          <w:p>
            <w:r>
              <w:t>4.6</w:t>
            </w:r>
          </w:p>
        </w:tc>
        <w:tc>
          <w:tcPr>
            <w:tcW w:type="dxa" w:w="1440"/>
          </w:tcPr>
          <w:p>
            <w:r>
              <w:t>9.6</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Note the wide spread even within "CAD/CAM ceramic" as a category — flexural strength ranges over 13-fold (122 to 1625 MPa) depending on whether the material is a milled feldspathic block or a milled zirconia block, reinforcing the point from Section 2 that strength depends on crystalline-phase content, not on the fact that a material is CAD/CAM-compatible. [5, p.231]</w:t>
      </w:r>
    </w:p>
    <w:p>
      <w:pPr>
        <w:pStyle w:val="Heading2"/>
      </w:pPr>
      <w:r>
        <w:t>2.7 Manufacturing-Method Classification and Generic All-Ceramic Crown Preparation</w:t>
      </w:r>
    </w:p>
    <w:p>
      <w:r>
        <w:t>Advanced Operative Dentistry (Ricketts) organizes the same all-ceramic material landscape by manufacturing method into four categories, each linked to specific commercial systems and clinical applications: [6, p.145]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Manufacturing method</w:t>
            </w:r>
          </w:p>
        </w:tc>
        <w:tc>
          <w:tcPr>
            <w:tcW w:type="dxa" w:w="2880"/>
          </w:tcPr>
          <w:p>
            <w:r>
              <w:t>Materials</w:t>
            </w:r>
          </w:p>
        </w:tc>
        <w:tc>
          <w:tcPr>
            <w:tcW w:type="dxa" w:w="2880"/>
          </w:tcPr>
          <w:p>
            <w:r>
              <w:t>Clinical application</w:t>
            </w:r>
          </w:p>
        </w:tc>
      </w:tr>
      <w:tr>
        <w:tc>
          <w:tcPr>
            <w:tcW w:type="dxa" w:w="2880"/>
          </w:tcPr>
          <w:p>
            <w:r>
              <w:t>Sintering</w:t>
            </w:r>
          </w:p>
        </w:tc>
        <w:tc>
          <w:tcPr>
            <w:tcW w:type="dxa" w:w="2880"/>
          </w:tcPr>
          <w:p>
            <w:r>
              <w:t>Feldspathic/aluminous porcelain; In-Ceram Alumina, Spinell, Zirconia</w:t>
            </w:r>
          </w:p>
        </w:tc>
        <w:tc>
          <w:tcPr>
            <w:tcW w:type="dxa" w:w="2880"/>
          </w:tcPr>
          <w:p>
            <w:r>
              <w:t>Porcelain jacket crowns, veneers; with an alloy core, dentine-bonded crowns/bridges anterior and posterior</w:t>
            </w:r>
          </w:p>
        </w:tc>
      </w:tr>
      <w:tr>
        <w:tc>
          <w:tcPr>
            <w:tcW w:type="dxa" w:w="2880"/>
          </w:tcPr>
          <w:p>
            <w:r>
              <w:t>Casting</w:t>
            </w:r>
          </w:p>
        </w:tc>
        <w:tc>
          <w:tcPr>
            <w:tcW w:type="dxa" w:w="2880"/>
          </w:tcPr>
          <w:p>
            <w:r>
              <w:t>Dicor (glass-ceramic, no longer available)</w:t>
            </w:r>
          </w:p>
        </w:tc>
        <w:tc>
          <w:tcPr>
            <w:tcW w:type="dxa" w:w="2880"/>
          </w:tcPr>
          <w:p>
            <w:r>
              <w:t>Anterior crowns</w:t>
            </w:r>
          </w:p>
        </w:tc>
      </w:tr>
      <w:tr>
        <w:tc>
          <w:tcPr>
            <w:tcW w:type="dxa" w:w="2880"/>
          </w:tcPr>
          <w:p>
            <w:r>
              <w:t>Hot-pressing / injection moulding</w:t>
            </w:r>
          </w:p>
        </w:tc>
        <w:tc>
          <w:tcPr>
            <w:tcW w:type="dxa" w:w="2880"/>
          </w:tcPr>
          <w:p>
            <w:r>
              <w:t>IPS Empress (leucite-reinforced); IPS Empress 2 and IPS e.max Press (lithium disilicate)</w:t>
            </w:r>
          </w:p>
        </w:tc>
        <w:tc>
          <w:tcPr>
            <w:tcW w:type="dxa" w:w="2880"/>
          </w:tcPr>
          <w:p>
            <w:r>
              <w:t>Anterior onlays/crowns (Empress); anterior AND posterior onlays/crowns, and anterior 3-unit bridgework (Empress 2 / e.max Press)</w:t>
            </w:r>
          </w:p>
        </w:tc>
      </w:tr>
      <w:tr>
        <w:tc>
          <w:tcPr>
            <w:tcW w:type="dxa" w:w="2880"/>
          </w:tcPr>
          <w:p>
            <w:r>
              <w:t>Machining</w:t>
            </w:r>
          </w:p>
        </w:tc>
        <w:tc>
          <w:tcPr>
            <w:tcW w:type="dxa" w:w="2880"/>
          </w:tcPr>
          <w:p>
            <w:r>
              <w:t>VITABLOCS Mark II, VITA TriLuxe Bloc (feldspathic); In-Ceram Alumina/Spinell/Zirconia; Lava, Procera (zirconia)</w:t>
            </w:r>
          </w:p>
        </w:tc>
        <w:tc>
          <w:tcPr>
            <w:tcW w:type="dxa" w:w="2880"/>
          </w:tcPr>
          <w:p>
            <w:r>
              <w:t>Crowns, veneers (feldspathic); posterior crowns (In-Ceram Zirconia); crowns/bridgework (Lava); implant abutments (Procera)</w:t>
            </w:r>
          </w:p>
        </w:tc>
      </w:tr>
    </w:tbl>
    <w:p>
      <w:r>
        <w:t>This table makes explicit a distinction that is easy to blur: Empress and Empress 2/e.max Press share a fabrication method (hot-pressing) but differ in crystalline phase (leucite vs. lithium disilicate) — and it is the phase change, not the fabrication method, that extends the material's indication from anterior-only onlays/crowns to posterior use and short-span bridgework. [6, p.146]</w:t>
      </w:r>
    </w:p>
    <w:p>
      <w:r>
        <w:rPr>
          <w:b/>
        </w:rPr>
        <w:t xml:space="preserve">Glass-infused (In-Ceram) coping systems: </w:t>
      </w:r>
      <w:r>
        <w:t>developed to increase all-ceramic crown strength beyond what a feldspathic veneer alone can provide, these copings are built on a refractory die which shrinks during firing — this shrinkage is what makes the coping easy to remove from the die afterward. Three variants exist: almost pure alumina (In-Ceram Alumina), alumina with added magnesia for greater translucency at the cost of hardness (In-Ceram Spinell), and a combination of alumina and zirconia for the strongest of the three (In-Ceram Zirconia). [6, p.146]</w:t>
      </w:r>
    </w:p>
    <w:p>
      <w:r>
        <w:rPr>
          <w:b/>
        </w:rPr>
        <w:t xml:space="preserve">Generic all-ceramic crown preparation dimensions: </w:t>
      </w:r>
      <w:r>
        <w:t>as posterior use of all-ceramic crowns expanded, a generic preparation guideline emerged: 1.0-1.5 mm axial reduction, 1.0-2.0 mm incisal-edge or occlusal reduction, and 1.5-2.0 mm interocclusal clearance overall, for both anterior and posterior teeth. Advances in material strength have progressively allowed more minimal tooth reduction and a shift toward a chamfer margin design in preference to the older rounded-shoulder margin. This preparation-dimension detail is flagged here for cross-reference only — the full preparation protocol belongs to Sub-Module 5.3. [6, p.146]</w:t>
      </w:r>
    </w:p>
    <w:p>
      <w:pPr>
        <w:pStyle w:val="Heading1"/>
      </w:pPr>
      <w:r>
        <w:t>3. Composite Resin Restorations (Indirect)</w:t>
      </w:r>
    </w:p>
    <w:p>
      <w:pPr>
        <w:pStyle w:val="Heading2"/>
      </w:pPr>
      <w:r>
        <w:t>3.1 Fabrication Process and Rationale</w:t>
      </w:r>
    </w:p>
    <w:p>
      <w:r>
        <w:t>Indirect composites for onlays and inlays are polymerized outside the mouth and then luted to the tooth with a compatible resin cement. This single change in workflow addresses several intrinsic limitations of direct posterior composite: polymerization shrinkage occurs on the die, not in the prepared tooth, so induced stresses and bond failures at the tooth-restoration interface are reduced, decreasing leakage potential. [2, p.297]</w:t>
      </w:r>
    </w:p>
    <w:p>
      <w:r>
        <w:rPr>
          <w:b/>
        </w:rPr>
        <w:t xml:space="preserve">Direct vs. laboratory-fabricated indirect inlays: </w:t>
      </w:r>
      <w:r>
        <w:t>The chairside "direct composite inlay" technique applies a separating medium to the prepared tooth, forms and light-cures the resin pattern, removes it, then post-cures it with additional light (4-6 min) or heat (~100°C, 7 min) before etching, cementing, and polishing. True laboratory-processed indirect inlays instead use a dental technician and an impression, with lab processing employing heat (e.g. 140°C) and pressure (e.g. 0.6 MPa for 10 minutes) — conditions that achieve a significantly higher degree of polymerization than either the direct or the chairside-postcured technique, improving physical properties and wear resistance. A further clinical advantage: these resins are repairable intraorally and are less abrasive to opposing tooth structure than ceramic inlays. [2, p.297]</w:t>
      </w:r>
    </w:p>
    <w:p>
      <w:pPr>
        <w:pStyle w:val="Heading2"/>
      </w:pPr>
      <w:r>
        <w:t>3.2 Bonding Indirect Composite Restorations</w:t>
      </w:r>
    </w:p>
    <w:p>
      <w:r>
        <w:t>One of the central advantages of an indirect composite restoration — full polymerization outside the mouth — creates a bonding problem: the higher degree of monomer conversion achieved during lab processing leaves very few unreacted double bonds on the restoration's internal surface, which is precisely the surface that needs to chemically bond to the resin luting cement. [5, p.269]</w:t>
      </w:r>
    </w:p>
    <w:p>
      <w:r>
        <w:t>Two clinical solutions are used to re-establish a bondable surface: (1) applying a surface activator (e.g. Composite Activator, Bisco) to chemically re-establish surface energy, or (2) sandblasting the bonding surface of the indirect restoration with aluminum oxide to expose an internal layer where more unreacted double bonds are present. Bond strengths between composite and an adequately treated porcelain/composite surface often exceed 25 MPa — a value considered predictive of clinical success. [5, p.269]</w:t>
      </w:r>
    </w:p>
    <w:p>
      <w:pPr>
        <w:pStyle w:val="Heading2"/>
      </w:pPr>
      <w:r>
        <w:t>3.3 Wear and Clinical Longevity — Quantified Comparisons</w:t>
      </w:r>
    </w:p>
    <w:p>
      <w:r>
        <w:t>Natural enamel wears at roughly 30 μm/year in molars and 15 μm/year in premolars; most modern direct resin composites fall within that same range. [4, PDF p.997]</w:t>
      </w:r>
    </w:p>
    <w:p>
      <w:r>
        <w:t>Head-to-head laboratory data on indirect composites is genuinely mixed rather than uniformly favorable — an important honesty point for a postgraduate audience, since indirect composite is sometimes marketed as a categorical upgrade over direct composite:</w:t>
      </w:r>
    </w:p>
    <w:p>
      <w:pPr>
        <w:pStyle w:val="ListBullet"/>
      </w:pPr>
      <w:r>
        <w:t>One comparison found the traditional direct composite Charisma wore less than the indirect composite Artglass.</w:t>
      </w:r>
    </w:p>
    <w:p>
      <w:pPr>
        <w:pStyle w:val="ListBullet"/>
      </w:pPr>
      <w:r>
        <w:t>Another study found the indirect composite Targis had superior physical/mechanical properties, yet the direct composite Z100 still had the highest wear resistance of the group tested.</w:t>
      </w:r>
    </w:p>
    <w:p>
      <w:pPr>
        <w:pStyle w:val="ListBullet"/>
      </w:pPr>
      <w:r>
        <w:t>A three-material laboratory comparison against a cast-gold control found Skulptur FibreKor's wear was nearly equal to gold, while Targis showed the greatest wear and Artglass the second-greatest — showing that "indirect composite" is not one material with one wear behavior, but a product-dependent category.</w:t>
      </w:r>
    </w:p>
    <w:p>
      <w:pPr>
        <w:pStyle w:val="ListBullet"/>
      </w:pPr>
      <w:r>
        <w:t>A separate report concluded indirect resin composites' wear resistance is broadly similar to gold, but they remain significantly more abrasive to the opposing natural dentition than gold is.</w:t>
      </w:r>
    </w:p>
    <w:p>
      <w:r>
        <w:t>Clinical longevity: a prospective study following 64 indirect composite inlays/onlays over 48-75 months (mean 59 months) reported only 3 failures (5%) — two fractures and one caries recurrence — though 18 of 64 restorations were rated less than optimal, mostly from a change in interproximal contact tightness over time, not outright failure. A 5-year study of belleGlass inlays/onlays reported all restorations performing satisfactorily, but with 12% interfacial staining and 58% showing slight-to-moderate marginal degradation — illustrating that "satisfactory" and "free of any defect" are not the same clinical endpoint. [4, PDF p.999]</w:t>
      </w:r>
    </w:p>
    <w:p>
      <w:r>
        <w:t>Whether indirect composite actually outperforms direct composite in longevity remains genuinely unresolved: two separate clinical studies found no significant difference between composite inlays and direct-placed composite restorations at 5 years and at 11 years respectively. [4, PDF p.999]</w:t>
      </w:r>
    </w:p>
    <w:p>
      <w:pPr>
        <w:pStyle w:val="Heading2"/>
      </w:pPr>
      <w:r>
        <w:t>3.4 Alternative Fabrication Route — Ceramic Inlay/Onlay by Refractory Die vs. Pressed Technique</w:t>
      </w:r>
    </w:p>
    <w:p>
      <w:r>
        <w:t>Although this belongs technically to ceramics rather than composite, Summitt's places it in direct contrast with indirect composite fabrication and it clarifies why pressed-ceramic systems (Section 2.2-2.3 above) largely displaced the older refractory-die method: the refractory-die technique bakes porcelain directly onto a duplicated die, with final fit depending more on technician skill than on the specific ceramic material used, whereas the pressed-ceramic technique follows a conventional lost-wax pathway (wax pattern → invest → burn out → press a heated ceramic ingot into the mold space → recover and finish) — a more standardized, less technician-variable process. [4, PDF p.998]</w:t>
      </w:r>
    </w:p>
    <w:p>
      <w:r>
        <w:br w:type="page"/>
      </w:r>
    </w:p>
    <w:p>
      <w:r>
        <w:rPr>
          <w:b/>
        </w:rPr>
        <w:t xml:space="preserve">Audit note: </w:t>
      </w:r>
      <w:r>
        <w:t>the user asked for this module to be audited against Bhat's and Michigan Craig's, per the same audit already run on Module 3. Michigan Craig's was checked specifically for a crown-and-bridge alloy-selection section parallel to its real amalgam-alloy-selection content (already used in Module 3); none was found — its own index only names the amalgam selection passage. Bhat's had a real, quantified "ideal requirements" checklist specifically for metal-ceramic (PFM) materials — covering both the metal and porcelain sides of the bond — not previously covered in this document's brief metal-ceramic paragraphs below. Added; Bhat's now cited as [7].</w:t>
      </w:r>
    </w:p>
    <w:p>
      <w:pPr>
        <w:pStyle w:val="Heading1"/>
      </w:pPr>
      <w:r>
        <w:t>4. Hybrid Materials</w:t>
      </w:r>
    </w:p>
    <w:p>
      <w:r>
        <w:t>"Hybrid" in the indirect-restoration materials sense refers to combining two material classes within a single restoration, rather than to hybrid-filler composite. The clearest, best-evidenced example in the available core texts is the metal-ceramic restoration itself — arguably the original hybrid indirect restoration, long before the term "hybrid ceramic" existed for polymer-infiltrated ceramic network blocks.</w:t>
      </w:r>
    </w:p>
    <w:p>
      <w:r>
        <w:t>A metal-ceramic restoration consists of a cast metallic framework veneered with at least two layers of ceramic, engineered specifically to achieve a durable metal-to-ceramic bond and a color-stable, tissue-friendly, chemically durable finished surface. The metal substructure compensates for the ceramic veneer's inherent low fracture toughness — which is exactly why, despite feldspathic porcelain's low standalone flexural strength (60-80 MPa, Section 2.1), metal-ceramic restorations have historically shown higher long-term survival than some all-ceramic systems built from the same porcelain alone. [1, p.213]</w:t>
      </w:r>
      <w:r>
        <w:t xml:space="preserve"> Real, specific ideal requirements exist for both sides of this bond. The METAL side should have adequate biocompatibility, high corrosion resistance and chemical stability, the ability to chemically bond with ceramic through oxygen bonding, high proportional limit/yield/compressive/tensile/shear/fatigue strength, a high modulus of elasticity (for sag resistance at bonding temperature), low creep, a fusion temperature above the porcelain's, and a coefficient of thermal expansion (COTE) of 13.5-14.0 ppm/°C — deliberately slightly higher than the porcelain's own COTE (by about 0.5 ppm/°C, achieved with more platinum or palladium content), so the metal contracts slightly more on cooling and leaves the veneering ceramic in residual compression rather than tension. Copper and silver are specifically avoided in the alloy because they can discolor the fired porcelain. The PORCELAIN side should have high biocompatibility, good mechanical properties where possible, a COTE raised to 13.0-13.5 ppm/°C (via devitrification or leucite content specifically to narrow the mismatch with the metal), the ability to wet and bond to the metal surface, a fusion temperature below the metal's, and good color stability [7, p.225].</w:t>
      </w:r>
    </w:p>
    <w:p>
      <w:r>
        <w:rPr>
          <w:b/>
        </w:rPr>
        <w:t xml:space="preserve">Newer resin-ceramic hybrid block materials (e.g. polymer-infiltrated ceramic network materials): </w:t>
      </w:r>
      <w:r>
        <w:t>none of the core texts confirmed available for this module (Craig's, Philips', Sikri's, Summitt's, Sturdevant's, Mount's, McCabe's) contain a dedicated section on this specific newer material class distinct from the lithium disilicate/zirconia systems already covered in Section 2. This gap is noted transparently rather than filled with unsourced content; if a dedicated ceramic-materials-science supplementary text becomes available, this section should be revisited and expanded.</w:t>
      </w:r>
    </w:p>
    <w:p>
      <w:r>
        <w:br w:type="page"/>
      </w:r>
    </w:p>
    <w:p>
      <w:pPr>
        <w:pStyle w:val="Heading1"/>
      </w:pPr>
      <w:r>
        <w:t>References</w:t>
      </w:r>
    </w:p>
    <w:p>
      <w:r>
        <w:t>1. Sakaguchi RL, Ferracane JL, Powers JM. Craig's Restorative Dental Materials. 14th ed. St. Louis: Elsevier; 2019.</w:t>
      </w:r>
    </w:p>
    <w:p>
      <w:r>
        <w:t>2. Anusavice KJ, Shen C, Rawls HR, eds. Philips' Science of Dental Materials. 13th ed. St. Louis: Elsevier; 2013.</w:t>
      </w:r>
    </w:p>
    <w:p>
      <w:r>
        <w:t>3. Sikri VK. Indirect Restorations in Dental Practice. New Delhi: Jaypee Brothers Medical Publishers.</w:t>
      </w:r>
    </w:p>
    <w:p>
      <w:r>
        <w:t>4. Summitt JB, Robbins JW, Hilton TJ, Schwartz RS, eds. Fundamentals of Operative Dentistry: A Contemporary Approach. 4th ed. Chicago: Quintessence Publishing. (Passages cited as PDF page numbers where no printed folio was recoverable from the extracted text — see Note on Sources.)</w:t>
      </w:r>
    </w:p>
    <w:p>
      <w:r>
        <w:t>5. Ritter AV, ed. Sturdevant's Art and Science of Operative Dentistry. 7th ed. St. Louis: Elsevier.</w:t>
      </w:r>
    </w:p>
    <w:p>
      <w:r>
        <w:t>6. Ricketts D, ed. Advanced Operative Dentistry: A Practical Approach. Edinburgh: Churchill Livingstone/Elsevier.</w:t>
      </w:r>
    </w:p>
    <w:p>
      <w:r>
        <w:t>7. Bhat VS, Nandish BT, Jayaprakash K. Science of Dental Materials with Clinical Applications. 3rd ed. New Delhi: CBS Publishers &amp; Distributors.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