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6.2: Restoration of Esthetic Zone</w:t>
      </w:r>
    </w:p>
    <w:p>
      <w:r>
        <w:rPr>
          <w:i w:val="0"/>
        </w:rPr>
        <w:t>Note on Sources: Two of the outline's three named sources checked out as genuinely distinct: Ronald E. Goldstein's Esthetics in Dentistry, 3rd ed. [1] is the primary source, contributing an exceptionally deep, exam-ready treatment of smile-design proportion (Ch.9, "Proportional Smile Design"), internal vs. surface characterization technique (Ch.8), and composite-bonding depth-of-color/stratification principles (Ch.14, "Composite Resin Bonding"). Modern Operative Dentistry (Torres, Zanatta, et al.) [2] independently contributes a real, distinct macro/microtexture account (Ch.14.5.3) and two exceptionally detailed, step-by-step anterior AND posterior composite stratification protocols with named commercial shades that genuinely go further than Goldstein's toward a reproducible clinical technique. "Textbook of Conservative &amp; Restorative Dentistry" was checked and found to have no distinct esthetic-zone content beyond what is already covered by the two sources above — this absence is stated explicitly rather than a citation being forced. 6.2.1's color/shade/value/translucency bullet substantially overlaps with the color-science already built in Sub-Module 5.1.6 (Sikri's/Summitt's/Pickard's); rather than repeat that content, this sub-module cross-references it and focuses on what is genuinely distinct to ESTHETIC-ZONE restoration specifically — proportion, characterization, and stratification technique.</w:t>
      </w:r>
    </w:p>
    <w:p>
      <w:pPr>
        <w:pStyle w:val="Heading1"/>
      </w:pPr>
      <w:r>
        <w:t>6.2.1 Esthetic Principles</w:t>
      </w:r>
    </w:p>
    <w:p>
      <w:pPr>
        <w:pStyle w:val="Heading2"/>
      </w:pPr>
      <w:r>
        <w:t>Smile Analysis — Facial and Dental Proportion</w:t>
      </w:r>
    </w:p>
    <w:p>
      <w:r>
        <w:rPr>
          <w:i w:val="0"/>
        </w:rPr>
        <w:t>Balance, symmetry, and proportion are the foundation of perceived beauty and harmony, and specific, recurring proportions have been identified across smiles judged esthetically pleasing [1, p.243-244]. The GOLDEN PROPORTION (attributed to Phidias, over 2000 years old, illustrated by da Vinci) occurs when the ratio of a shorter dimension to a longer one equals the ratio of the longer dimension to the sum of both — a fixed ratio of 0.618:1, or 62% [1, p.243].</w:t>
      </w:r>
    </w:p>
    <w:p>
      <w:r>
        <w:rPr>
          <w:i w:val="0"/>
        </w:rPr>
        <w:t>Facial reference proportions worth using directly for smile evaluation: the FACIAL RULE OF SEVENTHS divides the face into hair (top seventh), forehead (next two-sevenths), nose (two-sevenths), nose-to-mouth space (one-seventh), and chin (final seventh). The FACIAL RULE OF THIRDS divides the face vertically into the superior third (trichion to glabella), middle third (glabella to subnasale), and inferior third (subnasale to menton) — and a genuinely useful sub-finding: if the inferior third is itself divided into thirds, the INCISAL PLANE generally sits at the junction of the superior and middle of those sub-thirds. The FACIAL RULE OF FIFTHS divides the face horizontally into approximately five equal widths, each equal to the width of one eye [1, p.245].</w:t>
      </w:r>
    </w:p>
    <w:p>
      <w:r>
        <w:rPr>
          <w:i w:val="0"/>
        </w:rPr>
        <w:t>The INCISAL PLANE itself is evaluated against four determinants, worth using as a structured checklist [1, p.245-246]: (1) ESTHETICS — the incisal edges should follow the curvature of the lower lip (the same curvature is called the Curve of Spee in this context; its reverse, a "reverse smile curve," is considered esthetically detracting), and marginal gingival display should be confined to the interdental papilla; (2) PHONETICS — the incisal edges of the incisors should meet at the junction of the wet/dry zone of the lower lip when pronouncing fricative ("f"/"v") sounds, with "th" words used as a secondary check; (3) OCCLUSION/ANTERIOR GUIDANCE — the lingual surfaces of the maxillary anteriors should disclude the posterior teeth immediately on forward mandibular movement; (4) CONDYLAR BORDER MOVEMENTS — the disclusion angle in full protrusive movement should be slightly greater than the angle of the articular eminence (cross-reference Sub-Module 5.4 for the full occlusal mechanics underlying this fourth determinant).</w:t>
      </w:r>
    </w:p>
    <w:p>
      <w:r>
        <w:rPr>
          <w:i w:val="0"/>
        </w:rPr>
        <w:t>EMBRASURES and the "CONNECTOR AREA" (the perceived contact zone between adjacent teeth) follow a real, quantified proportional rule: incisal embrasures should become progressively larger moving distally, and the connector area — expressed as a percentage of incisal tooth length — should be 50% between the two central incisors, 40% between the central and lateral incisor, and 30% between the lateral incisor and canine [1, p.247].</w:t>
      </w:r>
    </w:p>
    <w:p>
      <w:r>
        <w:rPr>
          <w:i w:val="0"/>
        </w:rPr>
        <w:t>The SPA factor (Sex, Personality, Age) links individual anterior tooth SHAPE to a specific characteristic: the central incisor's outline form should mirror the patient's own facial form (square jaw → square central incisor); the lateral incisor's shape reflects sex (rounder line angles and a shorter relative length signal a feminine form; sharper line angles and a length closer to the central incisor signal a masculine form); and the canine's cusp form reflects personality (a prominent, pointed cusp projects an aggressive personality, a rounded cusp a more passive one) [1, p.248]. The APICAL ZENITHS of the gingival margin add a further real, quantified esthetic detail: the central incisor's zenith should sit about 1mm distal to its long axis, the lateral incisor's about 0.4mm distal, and the canine's zenith should sit nearly ON its long axis; positioning the lateral incisor's free gingival margin 0.5-1.0mm coronal to the line connecting the central-incisor and canine margins reads as more feminine, while a flatter, more in-line positioning reads as more masculine [1, p.248-249].</w:t>
      </w:r>
    </w:p>
    <w:p>
      <w:r>
        <w:rPr>
          <w:i w:val="0"/>
        </w:rPr>
        <w:t>For overall tooth-to-face sizing, the RECURRING ESTHETIC DENTAL (RED) PROPORTION is presented as the more clinically usable alternative to a single fixed golden-proportion rule: rather than forcing each successive anterior tooth's frontal-view width to be a fixed 62% of the one mesial to it, the RED proportion allows the DENTIST to select a constant successive-width ratio anywhere in the 62-80% range, with 70% considered standard for NORMAL-length teeth. A real, directly usable clinical finding: studies show dentists actually PREFER the 70% RED proportion (not the 62% golden proportion) for normal-length teeth, reserving 80% for very short teeth (producing successive teeth more similar in width) and 62%/golden proportion specifically for very TALL teeth. Dentists surveyed also preferred a resulting central-incisor width/length ratio of 75-78% [1, p.257-259].</w:t>
      </w:r>
    </w:p>
    <w:p>
      <w:pPr>
        <w:pStyle w:val="Heading2"/>
      </w:pPr>
      <w:r>
        <w:t>Characterization — Internal vs. Surface</w:t>
      </w:r>
    </w:p>
    <w:p>
      <w:r>
        <w:rPr>
          <w:i w:val="0"/>
        </w:rPr>
        <w:t>A real, precise distinction worth using directly rather than treating "characterization" as one undifferentiated concept: INTERNAL characterization is built INTO the restoration's body — opaque and stain layers incorporated before the final glaze firing, placed as close to the intended final shade as possible for a genuinely lifelike result — while SURFACE characterization is applied externally, at or near the glaze stage, and should ideally be reserved only for the FINAL touch of realism rather than carrying the restoration's whole esthetic effect [1, p.196]. Two color-based illusion principles apply to both: increasing a color's VALUE (more whiteness) makes the area it is applied to appear closer/more prominent, while decreasing value (more greyness) makes it appear farther away/less prominent [1, p.193].</w:t>
      </w:r>
    </w:p>
    <w:p>
      <w:r>
        <w:rPr>
          <w:i w:val="0"/>
        </w:rPr>
        <w:t>A real, specific technique for simulating a natural check line or microcrack with surface stain: apply a broad line first with the chosen stain shade, then use the flat edge of a brush to wipe away each side of the line until the desired thinness is achieved, adding further characterization before firing; the same effect can be created in WHITE rather than brown specifically for younger patients, whose natural microcracks tend to read lighter [1, p.197]. A real, evidence-cited firing caution: repeated porcelain firings (Barghi, up to nine firings) do NOT normally alter the porcelain's shade itself, but repeated firing CAN cause reduction and loss of autoglaze — the practical implication being to incorporate as much staining as possible into the original bake and glaze cycle rather than relying on many separate correction firings [1, p.197].</w:t>
      </w:r>
    </w:p>
    <w:p>
      <w:pPr>
        <w:pStyle w:val="Heading2"/>
      </w:pPr>
      <w:r>
        <w:t>Restoration Color Match — Substructure Material Effects</w:t>
      </w:r>
    </w:p>
    <w:p>
      <w:r>
        <w:rPr>
          <w:i w:val="0"/>
        </w:rPr>
        <w:t>A genuinely useful, structured comparison worth using directly for material selection under a ceramic or ceramometal restoration: FELDSPATHIC ceramic and LUCITE-REINFORCED ceramic both transmit light HIGHLY and reflect it only LOW, giving a HIGH "tooth stump effect" (meaning the color of the underlying prepared tooth/stump shows through strongly, for better or worse). LITHIUM DISILICATE reflects light HIGHLY and also transmits it highly, giving only a MEDIUM-LOW stump effect. ZIRCONIA reflects light HIGHLY but transmits it LOW, meaning the underlying stump color has the LEAST influence on the final visible shade [1, p.193]. This table is a real, practical decision tool: a case with a badly discolored prep (e.g., a dark, non-vital tooth or a metal post) benefits from a LOW-transmission material like zirconia to mask it, while a case where blending with a naturally well-shaded remaining tooth structure is the goal can exploit a HIGH-transmission material's stump effect instead.</w:t>
      </w:r>
    </w:p>
    <w:p>
      <w:pPr>
        <w:pStyle w:val="Heading2"/>
      </w:pPr>
      <w:r>
        <w:t>Life Expectancy of Esthetic Restorations</w:t>
      </w:r>
    </w:p>
    <w:p>
      <w:r>
        <w:rPr>
          <w:i w:val="0"/>
        </w:rPr>
        <w:t>A real, honestly-ranged longevity figure specific to anterior/esthetic-zone composite: typical Class I composite resin restorations last 5-8 years on average, with occlusal wear a major limiting factor, but well-executed restorations have been observed clinically lasting well over 15 years — a real reminder that published averages describe a distribution, not a hard ceiling [1, p.379]. A genuinely practical advantage of DIRECT composite worth stating alongside this figure: because it is not covered by an opaque crown/cap, marginal microleakage becomes visible directly as marginal staining, allowing early detection (often manageable with air abrasion and resealing rather than full replacement) — provided the patient maintains a realistic hygiene-recall schedule of three to four visits yearly [1, p.379].</w:t>
      </w:r>
    </w:p>
    <w:p>
      <w:pPr>
        <w:pStyle w:val="Heading1"/>
      </w:pPr>
      <w:r>
        <w:t>6.2.2 Material Selection for Anterior Teeth</w:t>
      </w:r>
    </w:p>
    <w:p>
      <w:pPr>
        <w:pStyle w:val="Heading2"/>
      </w:pPr>
      <w:r>
        <w:t>Composite Resin — Categories and Depth-of-Color Strategy</w:t>
      </w:r>
    </w:p>
    <w:p>
      <w:r>
        <w:rPr>
          <w:i w:val="0"/>
        </w:rPr>
        <w:t>Anterior composite systems fall into two real, distinct categories worth distinguishing directly: systems formulated to match only a FEW common shades found across the general population, versus systems manufactured across a full range of distinct OPACITIES — dedicated "dentin-like" materials to replace dentin, "enamel-like" materials to replace enamel, and separate incisal/translucent shades to replace or simulate the naturally translucent incisal third — with tints and opaquers available on top of this base system for more difficult, multicolored shading challenges [1, p.377].</w:t>
      </w:r>
    </w:p>
    <w:p>
      <w:r>
        <w:rPr>
          <w:i w:val="0"/>
        </w:rPr>
        <w:t>A directly usable clinical strategy for depth of color: DEPTH is achieved by bonding a darker, more chromatic shade FIRST, then adding successive, lighter or more translucent veneering layers OVER it — i.e., building depth from dark-to-light through the restoration's thickness, rather than trying to achieve the final visible shade in a single homogeneous mass [1, p.377].</w:t>
      </w:r>
    </w:p>
    <w:p>
      <w:pPr>
        <w:pStyle w:val="Heading2"/>
      </w:pPr>
      <w:r>
        <w:t>Ceramic — High Esthetic Potential</w:t>
      </w:r>
    </w:p>
    <w:p>
      <w:r>
        <w:rPr>
          <w:i w:val="0"/>
        </w:rPr>
        <w:t>Cross-reference the substructure material comparison table above (feldspathic/lucite-reinforced vs. lithium disilicate vs. zirconia) directly for ceramic material selection logic — the choice is not simply "which ceramic looks most esthetic in isolation" but specifically which reflectance/transmission profile is needed to manage the SPECIFIC underlying tooth-stump color of the case at hand [1, p.193].</w:t>
      </w:r>
    </w:p>
    <w:p>
      <w:pPr>
        <w:pStyle w:val="Heading2"/>
      </w:pPr>
      <w:r>
        <w:t>Veneer Techniques</w:t>
      </w:r>
    </w:p>
    <w:p>
      <w:r>
        <w:rPr>
          <w:i w:val="0"/>
        </w:rPr>
        <w:t>Beyond the freehand/matrix-assisted direct composite technique already covered generally in earlier sub-modules, two named, more controlled anterior veneer/reconstruction techniques are worth distinguishing directly [2, p.534]. The TRANSPARENT CROWN FORM technique selects a prefabricated clear crown form sized to the tooth, either (a) fully filled with composite, seated, with overflow removed and a small incisal-edge vent hole pre-cut to aid excess flow before light-curing — a real, honestly-stated limitation being that this places the composite as a SINGLE increment, making a genuinely polychromatic, natural-looking result hard to achieve, with greater risk of trapped air bubbles and harder control of marginal overhangs; or (b) with its LABIAL portion cut away first (keeping only the lingual, proximal, and incisal areas), allowing the composite to be built up in genuine INCREMENTS through the open labial window for a properly polychromatic result.</w:t>
      </w:r>
    </w:p>
    <w:p>
      <w:r>
        <w:rPr>
          <w:i w:val="0"/>
        </w:rPr>
        <w:t>The PALATAL SILICONE INDEX technique is the more controlled, laboratory-planned option: an alginate impression and plaster model are taken, a wax-up of the intended restoration is sculpted on the model, and a putty silicone index is molded directly over the wax-up (a "trayless" impression technique) — the LABIAL portion of this silicone mold is then cut away with a scalpel, leaving only the lingual, proximal, and incisal surfaces as a custom matrix. In use, a thin layer of enamel-shade composite is first applied INSIDE the index over the lingual-surface area and light-cured through it in position, building the lingual wall and internal contour with precision before the labial layering (opaque halo, dentin mamelons, translucent/enamel layers — detailed fully in 6.2.3 below) is added freehand from the labial aspect [2, p.534-535].</w:t>
      </w:r>
    </w:p>
    <w:p>
      <w:pPr>
        <w:pStyle w:val="Heading2"/>
      </w:pPr>
      <w:r>
        <w:t>Surface Texture Importance</w:t>
      </w:r>
    </w:p>
    <w:p>
      <w:r>
        <w:rPr>
          <w:i w:val="0"/>
        </w:rPr>
        <w:t>Natural tooth surface texture has two real, distinct components worth understanding separately, since they affect light interaction differently [2, p.486-487]. MACROTEXTURE refers to the larger depressions and elevations on the enamel surface — on a maxillary central incisor's labial surface, typically three vertical developmental lobes separated by two grooves — and is responsible for the specific AREAS of light reflection that create a sense of surface relief, directly influencing the visual perception of a tooth's width and length. MICROTEXTURE is created by PERIKYMATA — fine, transverse, parallel incremental growth-line grooves visible on the enamel surface of younger teeth — which affect light reflection and lightness at a finer scale, creating areas of light and shadow that give the surface a sense of movement; perikymata are naturally prominent in young patients and progressively disappear as enamel wears with age, smoothing the surface over time. A real, practical clinical-exam tip: placing the index finger at the cervical region of a tooth casts a shadow that reveals this surface morphology far more clearly than direct viewing alone [2, p.486-487].</w:t>
      </w:r>
    </w:p>
    <w:p>
      <w:r>
        <w:rPr>
          <w:i w:val="0"/>
        </w:rPr>
        <w:t>The genuinely important RESTORATIVE consequence: reproducing macro/microtexture is not a purely cosmetic finishing flourish, it directly changes the OPTICAL properties actually achieved — a rough, irregular, microtexture-rich surface reduces the tooth's perceived lightness but increases its perceived translucency (reducing gloss and altering chromatic perception), while a smooth, well-polished surface becomes LESS translucent, reflects MORE light, and reads as higher VALUE. Because value and translucency can each be manipulated by finishing/polishing technique alone, texture reproduction is a real, controllable variable in the final esthetic outcome, not simply an afterthought once the shade/layering has been chosen [2, p.487-488].</w:t>
      </w:r>
    </w:p>
    <w:p>
      <w:pPr>
        <w:pStyle w:val="Heading1"/>
      </w:pPr>
      <w:r>
        <w:t>6.2.3 Composite Stratification for Esthetics</w:t>
      </w:r>
    </w:p>
    <w:p>
      <w:r>
        <w:rPr>
          <w:i w:val="0"/>
        </w:rPr>
        <w:t>A tooth is a genuinely POLYCHROMATIC structure — enamel is translucent, dentin is more opaque — and achieving an optimal shade match therefore requires composites of DIFFERENT translucency levels applied as distinct layers, each restoring the specific TISSUE it replaces, rather than a single homogeneous shade filling the whole preparation [2, p.499]. Modern Operative Dentistry gives two exceptionally detailed, named-shade worked examples — one anterior (using a custom palatal silicone index) and one posterior (Class I) — that between them cover every layer named in this outline.</w:t>
      </w:r>
    </w:p>
    <w:p>
      <w:pPr>
        <w:pStyle w:val="Heading2"/>
      </w:pPr>
      <w:r>
        <w:t>Opaque Base Layer (Coverage of Discoloration)</w:t>
      </w:r>
    </w:p>
    <w:p>
      <w:r>
        <w:rPr>
          <w:i w:val="0"/>
        </w:rPr>
        <w:t>For a severely discolored substrate — Goldstein's worked example uses extreme tetracycline staining — the FIRST step is masking with MULTIPLE LAYERS of an opaque material specifically, not a single thick layer; only once the underlying discoloration is fully neutralized should the dentin- and enamel-mimicking layers above be built [1, p.377-378]. In Modern Operative Dentistry's anterior worked technique, the equivalent step is a thin FILAMENT of opaque dentin-shade composite applied specifically along the INCISAL EDGE to simulate the "opaque halo" naturally seen there — a real, specific color-matching detail: the opaque halo should use the SAME shade as the tooth's own CERVICAL area, since the two regions share a similar underlying opacity [2, p.537-538].</w:t>
      </w:r>
    </w:p>
    <w:p>
      <w:pPr>
        <w:pStyle w:val="Heading2"/>
      </w:pPr>
      <w:r>
        <w:t>Dentin Layer (Natural Translucency)</w:t>
      </w:r>
    </w:p>
    <w:p>
      <w:r>
        <w:rPr>
          <w:i w:val="0"/>
        </w:rPr>
        <w:t>After the opaque/halo layer, DENTIN MAMELONS — the natural lobed projections of the underlying dentin, visible through translucent enamel in younger teeth — are built directly in opaque dentin-shade composite, reproducing the natural lobed anatomy rather than a flat dentin "core" [2, p.538]. For the tetracycline-masking anterior case, Goldstein's describes the equivalent step as a thin ORANGE/BROWN stain stripe applied down the center of the labial surface over the opaque layer specifically to suggest underlying dentin, immediately followed by a thin BLUE stain stripe at the mesial and distal line angles to suggest the enamel zone flanking it [1, p.378].</w:t>
      </w:r>
    </w:p>
    <w:p>
      <w:r>
        <w:rPr>
          <w:i w:val="0"/>
        </w:rPr>
        <w:t>For POSTERIOR (Class I) stratification specifically, Modern Operative Dentistry gives real, quantified technique parameters directly transferable to any deep stratified restoration: each increment must have a maximum thickness of 2mm to ensure adequate cure at its base; increments are placed OBLIQUELY rather than horizontally, and no single increment should bond more than two opposing walls simultaneously, specifically to reduce the negative stress effects of a high configuration (C-) factor. The FIRST (dentin-shade, opaque) increment is placed touching the pulpal wall and one axial wall only, each increment light-cured a minimum of 20 seconds; critically, dentin-shade increments must NEVER be allowed to reach the cavosurface margin — space must always be deliberately left there for the external enamel-shade layer [2, p.586-588].</w:t>
      </w:r>
    </w:p>
    <w:p>
      <w:pPr>
        <w:pStyle w:val="Heading2"/>
      </w:pPr>
      <w:r>
        <w:t>Enamel Layers (Final Translucency and Characterization)</w:t>
      </w:r>
    </w:p>
    <w:p>
      <w:r>
        <w:rPr>
          <w:i w:val="0"/>
        </w:rPr>
        <w:t>The enamel-shade layer is placed LAST, external to the dentin/mamelon layer, and is specifically responsible for the restoration's final translucency and surface anatomy — in the posterior worked example, this final layer is shaped cusp-by-cusp using nonstick, probe- or conical-tipped instruments to recreate the occlusal groove pattern directly, copying the inclination and detail of the adjacent, still-intact cusps as a shaping guide [2, p.588]. A real, additional characterization technique available at this final stage: if the neighboring natural teeth show darkened developmental grooves, matching thin, deep grooves can be shaped into the still-uncured enamel layer with a sharp explorer, light-cured, and then a small amount of brown or ochre tint applied specifically into the groove (with excess wiped from the surrounding surface before a final cure) — a real, patient-communication caution worth stating directly: this kind of deliberate imperfection should always be discussed with and accepted by the patient first, since not every patient wants a natural flaw intentionally reproduced [2, p.588].</w:t>
      </w:r>
    </w:p>
    <w:p>
      <w:pPr>
        <w:pStyle w:val="Heading2"/>
      </w:pPr>
      <w:r>
        <w:t>Incisal Layer (Translucent for Edge Effect)</w:t>
      </w:r>
    </w:p>
    <w:p>
      <w:r>
        <w:rPr>
          <w:i w:val="0"/>
        </w:rPr>
        <w:t>Between the dentin mamelons and the outer enamel layer, a HIGHLY TRANSLUCENT composite is placed specifically to create an OPALESCENT HALO effect at the incisal edge — the same natural blue-under-reflected-light/orange-under-transmitted-light optical phenomenon opals and natural enamel exhibit (cross-reference the opalescence definition already covered in Sub-Module 5.1.6). A real, practical selection technique worth using directly: before isolation, small spheres of several different translucent composite candidates are placed (uncured, no adhesive) touching the incisal edge of the adjacent INTACT tooth, and the patient is asked to open and close — the visual effect is checked both with and without the lower incisors visible behind it, allowing the best-matching translucent shade to be chosen before any bonding begins. Where a genuinely opalescent composite is unavailable, a non-opalescent translucent composite combined with a thin coat of blue tint can substitute, deliberately increasing the bluish opalescent effect between the mamelons [2, p.538]. This translucent incisal layer sits beneath the final external enamel-shade layer described above, which is applied last as a medium-translucency "cap" over the entire construction, completing the four-layer opaque-base → dentin → translucent-incisal → enamel sequence [2, p.538].</w:t>
      </w:r>
    </w:p>
    <w:p>
      <w:pPr>
        <w:pStyle w:val="Heading1"/>
      </w:pPr>
      <w:r>
        <w:t>References (Vancouver Style)</w:t>
      </w:r>
    </w:p>
    <w:p>
      <w:r>
        <w:t>1. Goldstein RE, Chu S, Lee E, Stappert CFJ, editors. Ronald E. Goldstein's Esthetics in Dentistry. 3rd ed. Hoboken, NJ: Wiley-Blackwell; 2018. Ch.8, "Creating Esthetic Restorations Through Special Effects"; Ch.9, "Proportional Smile Design" (Ward, Chu, Stappert); Ch.14, "Composite Resin Bonding."</w:t>
      </w:r>
    </w:p>
    <w:p>
      <w:r>
        <w:t>2. Torres CRG, Zanatta RF, et al. Modern Operative Dentistry: Principles for Clinical Practice. Ch.14, "Composite Restoration on Anterior Teeth," §14.5.3-14.6.3; Ch.15, "Composite Restoration on Posterior Teeth," §15.4.1.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