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6.3: Restoration Longevity &amp; Failure Patterns</w:t>
      </w:r>
    </w:p>
    <w:p>
      <w:r>
        <w:rPr>
          <w:i w:val="0"/>
        </w:rPr>
        <w:t>Note on Sources: "Textbook of Conservative &amp; Restorative Dentistry" was checked directly (a full-text search for "failure," "longevity," and "survival" returned zero hits) and confirmed to have no distinct content on this topic — stated explicitly rather than a citation forced, consistent with the same finding when it was checked for Sub-Module 6.2. In its place, this sub-module is built from Mount's Preservation and Restoration of Tooth Structure, 3rd ed. [1] — its dedicated Ch.19, "Failures of Individual Restorations and Their Management," is an exceptionally thorough, exam-ready match for 6.3.1/6.3.4's scope, structured by cause of failure and by material — and from Summitt's Fundamentals of Operative Dentistry [2], which supplies the evidence-based-literature source the outline calls for directly: real, named annual-failure-rate (AFR) and survival-rate studies, used in place of the outline's placeholder longevity ranges, which this sourcing effort replaces with actual cited figures.</w:t>
      </w:r>
    </w:p>
    <w:p>
      <w:pPr>
        <w:pStyle w:val="Heading1"/>
      </w:pPr>
      <w:r>
        <w:t>6.3.1 Failure Modes</w:t>
      </w:r>
    </w:p>
    <w:p>
      <w:r>
        <w:rPr>
          <w:i w:val="0"/>
        </w:rPr>
        <w:t>Mount's opens this chapter with a real, striking clinical-time statistic worth using directly: it has been claimed that 70-75% of the average operator's clinical time is spent on REPLACEMENT dentistry addressing what is loosely termed "recurrent caries" [1, p.289]. A genuinely important methodological caution follows immediately: "recurrent caries" should be used with real caution as a diagnosis, since it conflates two different clinical realities — is the disease recorder observing a CONTINUATION of the original, never-eliminated disease, or a genuinely NEW lesion arising from a fresh breakdown in oral health? The distinction matters clinically because a new lesion may point to an underlying general-health problem the dentist should investigate, not simply a restorative-technique failure [1, p.289-290].</w:t>
      </w:r>
    </w:p>
    <w:p>
      <w:pPr>
        <w:pStyle w:val="Heading2"/>
      </w:pPr>
      <w:r>
        <w:t>Recurrent Caries (Most Common)</w:t>
      </w:r>
    </w:p>
    <w:p>
      <w:r>
        <w:rPr>
          <w:i w:val="0"/>
        </w:rPr>
        <w:t>The intimacy of the union between restoration and tooth structure is itself the vulnerability: material must be closely adapted to the cavity walls, yet OVER-contouring or excess material beyond the tooth's original crown contour becomes its own prime site for plaque accumulation — both under-adaptation and over-contour create real caries risk, just via opposite mechanisms [1, p.290]. A genuinely reassuring, honestly-stated finding worth including directly: once the bacterial burden is controlled, hygiene is established, and refined-carbohydrate intake is managed, MINOR restorative deficiencies can be tolerated — very poor dentistry has been observed to survive for long periods with no active caries in a disease-free mouth, while conversely, even the best dentistry can fail if disease activity is rampant. Elimination of the disease itself, not restoration quality alone, is the primary determinant of failure [1, p.290].</w:t>
      </w:r>
    </w:p>
    <w:p>
      <w:r>
        <w:rPr>
          <w:i w:val="0"/>
        </w:rPr>
        <w:t>ROOT SURFACE CARIES deserves a specific distinction rather than being lumped into "recurrent caries": it is often interproximal and easily confused with true margin failure of an adjacent restoration, but it is generally the result of a genuinely NEW attack of caries in an aging patient following gingival recession — even a technically excellent restoration can fail under these circumstances, and successful management depends primarily on controlling the disease process itself, not redesigning the restoration. Remineralization is often achievable if the lesion is caught before actual cavitation [1, p.291].</w:t>
      </w:r>
    </w:p>
    <w:p>
      <w:pPr>
        <w:pStyle w:val="Heading2"/>
      </w:pPr>
      <w:r>
        <w:t>Proximal Caries / Margin Adaptation Loss</w:t>
      </w:r>
    </w:p>
    <w:p>
      <w:r>
        <w:rPr>
          <w:i w:val="0"/>
        </w:rPr>
        <w:t>Tooth structure itself can fail at the cavity margin for identifiable, preventable reasons: leaving a margin directly under occlusal load, or introducing microcracks into the enamel during cavity preparation with an eccentrically rotating bur — stresses from an adhesive material's (e.g., composite) setting shrinkage can then propagate these microcracks further [1, p.290, 289]. Enamel itself is a brittle material with a specific rod orientation (perpendicular to the crown surface), so an ideal cavity margin should meet the surface at close to a right angle; when this is not achievable, wedge-shaped marginal defects can develop from foreshortened, unsupported enamel rods [1, p.289].</w:t>
      </w:r>
    </w:p>
    <w:p>
      <w:r>
        <w:rPr>
          <w:i w:val="0"/>
        </w:rPr>
        <w:t>Failure at the MARGIN of the restorative material itself is genuinely material-specific, worth treating material-by-material rather than as one undifferentiated phenomenon [1, p.291-293]:</w:t>
      </w:r>
    </w:p>
    <w:p>
      <w:r>
        <w:rPr>
          <w:i w:val="0"/>
        </w:rPr>
        <w:t>• AMALGAM has relatively poor edge strength and marginal ditching is common — but because amalgam corrodes and seals its own margins, this rarely progresses to further caries, and repair of ditched margins is NOT normally indicated; ditching of a low-copper amalgam should be regarded as a NORMAL finding, not a defect requiring intervention. Repolishing the occlusal surface specifically to eliminate ditching is contraindicated, since it alters occlusal anatomy and opposing-tooth contact.</w:t>
      </w:r>
    </w:p>
    <w:p>
      <w:r>
        <w:rPr>
          <w:i w:val="0"/>
        </w:rPr>
        <w:t>• COMPOSITE RESIN has NO comparable self-sealing ability — loss of marginal adhesion demands immediate attention, since plaque forced into an open occlusal margin under masticatory hydraulic pressure leads to rapid caries progression. Gingival-margin failure is particularly common because long-term adhesion to dentin (as opposed to enamel) remains genuinely difficult to achieve reliably; a glass-ionomer base (the lamination/"sandwich" technique) is strongly recommended specifically to reduce this risk.</w:t>
      </w:r>
    </w:p>
    <w:p>
      <w:r>
        <w:rPr>
          <w:i w:val="0"/>
        </w:rPr>
        <w:t>• GLASS-IONOMER failure is generally a HANDLING problem rather than an inherent material weakness — a low powder-content (weak) mix or early water contamination before full maturation causes marginal ditching, while dehydration of the freshly placed, immature cement causes bulk cracking. Properly placed and adequately supported, GIC resists both marginal and bulk failure even under heavy occlusal load — but it does need real bulk to resist ditching (it should not be used as a thin veneer) and has low tensile strength, making it unsuitable for restoring a marginal ridge or incisal corner.</w:t>
      </w:r>
    </w:p>
    <w:p>
      <w:r>
        <w:rPr>
          <w:i w:val="0"/>
        </w:rPr>
        <w:t>• GOLD has no inherent resistance to bacterial attack (unlike amalgam's self-sealing corrosion), so caries can progress rapidly and extensively once a gold margin fails — any defect should be explored promptly.</w:t>
      </w:r>
    </w:p>
    <w:p>
      <w:pPr>
        <w:pStyle w:val="Heading2"/>
      </w:pPr>
      <w:r>
        <w:t>Fracture (Restoration or Tooth)</w:t>
      </w:r>
    </w:p>
    <w:p>
      <w:r>
        <w:rPr>
          <w:i w:val="0"/>
        </w:rPr>
        <w:t>BULK failure of tooth structure has a clear mechanical basis: the strength of a tooth crown lies in the INTACT circle of enamel around its full circumference — once a proximal cavity breaks that circle, cusp integrity is placed at risk, and cutting the traditional occlusal trench across a Site 1 cavity effectively DOUBLES the exposed length of a cusp, while adding a Site 2 proximal box doubles it again; occlusal load on the resulting medially-facing cuspal incline generates real leverage, and a split at the cusp base is a predictable, not surprising, consequence [1, p.291]. Real, preventive cavity-design strategies worth stating directly: a tunnel preparation minimizes proximal-enamel involvement most effectively, a slot design is the next-best choice (eliminating the occlusal trench entirely), and where neither is possible, both the width AND depth of the occlusal trench should simply be kept minimal — including, in replacement dentistry, judiciously REDUCING an opposing cusp's height rather than deep-carving the new restoration to match an already-excessive intercuspation left by the restoration being replaced [1, p.292].</w:t>
      </w:r>
    </w:p>
    <w:p>
      <w:r>
        <w:rPr>
          <w:i w:val="0"/>
        </w:rPr>
        <w:t>A real, easily-missed non-working-cusp risk worth flagging directly: non-working cusps (e.g., the lingual cusps of lower molars) can, over years of occlusal wear elsewhere, end up standing relatively high and become subject to unintended lateral stress — since these cusps do not participate in working-side guidance, their anatomy can safely be modified (shortened, incline altered) to eliminate this risk without changing the occlusion or vertical dimension [1, p.292].</w:t>
      </w:r>
    </w:p>
    <w:p>
      <w:r>
        <w:rPr>
          <w:i w:val="0"/>
        </w:rPr>
        <w:t>BULK failure of the RESTORATIVE MATERIAL itself is also real, distinct, and material-specific [1, p.294-296]: for AMALGAM, each section of a complex restoration (proximal box, occlusal extension) must be INDEPENDENTLY retentive — one section cannot be expected to support the other — and common causes include inadequate retention in one section, an unlocked isthmus lacking retentive grooves/ditches, and excessive or hydrolyzing lining material reducing the amalgam's own physical bulk; a genuinely important, directly stated caution: bonding an amalgam with a composite-resin bonding agent is INSUFFICIENT on its own to retain it — mechanical interlocks remain essential regardless. For COMPOSITE RESIN, bulk failure more often shows up at the margins rather than truly in bulk (reflecting its greater flexibility), and is typically traced to under-curing (insufficient light exposure time or excessive light-tip distance) or contamination between increments. For PORCELAIN, which is genuinely brittle, bulk failure traces to either occlusal factors (unbalanced occlusion driving parafunctional load onto the restoration) or design factors (inadequate bulk/support — e.g., a porcelain-fused-to-metal molar crown's marginal ridge needs a metal shoulder beneath it); porcelain repair is difficult and complete replacement is generally necessary, since matching ceramic's optical properties with any other material remains genuinely unreliable.</w:t>
      </w:r>
    </w:p>
    <w:p>
      <w:r>
        <w:rPr>
          <w:i w:val="0"/>
        </w:rPr>
        <w:t>SPLIT ROOT is a distinct, severe fracture pattern specific to post-retained non-vital teeth: the post is an intraradicular restoration entirely dependent on root integrity, subjected to considerable lateral stress (particularly anteriorly), and a split allows tensile forces to eventually destroy the luting cement and the crown's retention with it. Diagnosis is genuinely difficult and the finding is almost invariably TERMINAL for the tooth — a real, practical diagnostic rule worth using directly: if a re-cemented post crown fails again within 12 months, the cause is almost certainly a split root [1, p.292-293].</w:t>
      </w:r>
    </w:p>
    <w:p>
      <w:pPr>
        <w:pStyle w:val="Heading2"/>
      </w:pPr>
      <w:r>
        <w:t>Debonding</w:t>
      </w:r>
    </w:p>
    <w:p>
      <w:r>
        <w:rPr>
          <w:i w:val="0"/>
        </w:rPr>
        <w:t>LOSS OF LUTING CEMENT is a distinct failure category from marginal/bulk material failure: every indirectly fabricated restoration carries a real, ongoing risk of luting-agent dissolution over time, best controlled by eliminating disease first, then using a low-solubility cement combined with accurate laboratory fit. A genuinely interesting, honestly-stated clinical observation: in a completely healthy mouth, a full crown can become uncemented purely through cement dissolution while showing NO sign of further caries on the tooth surface at all — debonding and caries are not the same failure mechanism, even though they are often assumed to travel together [1, p.294].</w:t>
      </w:r>
    </w:p>
    <w:p>
      <w:r>
        <w:rPr>
          <w:i w:val="0"/>
        </w:rPr>
        <w:t>TOTAL LOSS of a rigid, extracoronal restoration is generally traced to loss of cementation, most often from incorrect cavity design (insufficient vertical-wall length, since retention relies mainly on this rather than the cement itself — the cement's real functional role is preventing microleakage, not bearing tensile load), though poor material handling, unaddressed occlusal factors, or bulk tooth-structure failure can also contribute [1, p.296]. Direct plastic restorations (amalgam, composite) rarely vanish entirely from a conventional cavity, but composite or glass-ionomer placed in an EROSION lesion specifically can be lost without a trace — generally from incomplete adhesion due to surface contamination at placement, or from abfraction-related stress; a real, specific repair-technique detail: when re-restoring after a lost composite restoration, freshening the surface by removing up to 100μm of tooth structure is necessary, since residual resin tags remain embedded in the surface enamel/dentin layer and interfere with re-establishing fresh adhesion [1, p.296-297].</w:t>
      </w:r>
    </w:p>
    <w:p>
      <w:pPr>
        <w:pStyle w:val="Heading2"/>
      </w:pPr>
      <w:r>
        <w:t>Wear and Attrition</w:t>
      </w:r>
    </w:p>
    <w:p>
      <w:r>
        <w:rPr>
          <w:i w:val="0"/>
        </w:rPr>
        <w:t>Cross-reference Sub-Module 6.4 for the full non-carious-tooth-structure-loss treatment of wear mechanisms; in the specific context of RESTORATION failure, the relevant point is that continued occlusal wear can progressively alter a previously-acceptable occlusal relationship over years, turning a formerly non-working cusp into one now subject to lateral stress it was never designed to withstand (see "Fracture," above) — wear is therefore a genuinely time-dependent, evolving failure risk that requires periodic occlusal re-examination, not a one-time assessment made only at initial placement [1, p.292].</w:t>
      </w:r>
    </w:p>
    <w:p>
      <w:pPr>
        <w:pStyle w:val="Heading2"/>
      </w:pPr>
      <w:r>
        <w:t>Discoloration/Staining</w:t>
      </w:r>
    </w:p>
    <w:p>
      <w:r>
        <w:rPr>
          <w:i w:val="0"/>
        </w:rPr>
        <w:t>A material-specific point worth stating directly: AMALGAM produces a well-known blue-grey discoloration of the surrounding tooth structure over time — listed explicitly among amalgam's real esthetic contraindications — while COMPOSITE resin, despite generally excellent SHORT-term color match, is genuinely vulnerable to staining specifically at any open or leaking margin, which is precisely why marginal staining is used as an early clinical WARNING SIGN of incipient microleakage failure rather than treated as a purely cosmetic nuisance [1, p.291, 296-297].</w:t>
      </w:r>
    </w:p>
    <w:p>
      <w:pPr>
        <w:pStyle w:val="Heading2"/>
      </w:pPr>
      <w:r>
        <w:t>Endodontic Failure</w:t>
      </w:r>
    </w:p>
    <w:p>
      <w:r>
        <w:rPr>
          <w:i w:val="0"/>
        </w:rPr>
        <w:t>LOSS OF VITALITY is treated as its own distinct failure category requiring a genuine treatment-plan reassessment, not just a restorative repair: whatever the cause, there is likely to be a real shift in the remaining crown's translucency/color, and some further structural weakening from root canal enlargement during endodontic therapy — any pre-existing restoration on that tooth needs to be reviewed and possibly entirely redesigned in light of this changed substrate, rather than simply repaired in place [1, p.293].</w:t>
      </w:r>
    </w:p>
    <w:p>
      <w:pPr>
        <w:pStyle w:val="Heading1"/>
      </w:pPr>
      <w:r>
        <w:t>6.3.2 Factors Affecting Longevity</w:t>
      </w:r>
    </w:p>
    <w:p>
      <w:r>
        <w:rPr>
          <w:i w:val="0"/>
        </w:rPr>
        <w:t>Summitt's evidence-based literature review gives real, quantified, and genuinely evolving data on this question, worth presenting with its full honest complexity rather than as a single settled verdict. Studies of different duration are compared using the ANNUAL FAILURE RATE (AFR) metric specifically to normalize across differing follow-up periods [2, PDF p.565].</w:t>
      </w:r>
    </w:p>
    <w:p>
      <w:pPr>
        <w:pStyle w:val="Heading2"/>
      </w:pPr>
      <w:r>
        <w:t>Restoration Size / Number of Surfaces</w:t>
      </w:r>
    </w:p>
    <w:p>
      <w:r>
        <w:rPr>
          <w:i w:val="0"/>
        </w:rPr>
        <w:t>A real, independently-corroborated finding across MULTIPLE separate clinical trials, regardless of which restorative material was used: LARGER restorations have a consistently higher failure rate than smaller restorations of the same material [2, PDF p.565]. In one specific 7-year controlled trial (1,748 restorations), this held for both amalgam and composite, and the same trial found the risk of secondary caries specifically was 3.5 times greater for composite than for amalgam [2, PDF p.565].</w:t>
      </w:r>
    </w:p>
    <w:p>
      <w:pPr>
        <w:pStyle w:val="Heading2"/>
      </w:pPr>
      <w:r>
        <w:t>Material Type — A Genuinely Evolving Evidence Picture</w:t>
      </w:r>
    </w:p>
    <w:p>
      <w:r>
        <w:rPr>
          <w:i w:val="0"/>
        </w:rPr>
        <w:t>A late-1990s review found high-copper amalgam averaging a 1.1% AFR versus 2.4% AFR for resin composite — yet the probability of SURVIVING beyond 5 years differed little between the two materials in absolute terms (94% amalgam vs. 93% composite), a real, useful reminder that AFR percentages and simple survival percentages can tell subtly different stories about the same dataset [2, PDF p.565]. A large private-practice analysis of over 300,000 posterior restorations over 7 years found composite restorations had a 16.4% GREATER chance of failure than amalgam at any given time point; a separate military cohort study (2,780 Navy/Marine recruits) found a 64% greater risk of composite failure versus amalgam over 3 years; and a controlled trial of 1,748 restorations found amalgam's AFR (0.8%) significantly lower than composite's (2.2%) at 7 years [2, PDF p.565].</w:t>
      </w:r>
    </w:p>
    <w:p>
      <w:r>
        <w:rPr>
          <w:i w:val="0"/>
        </w:rPr>
        <w:t>However — and this is the genuinely important, honestly-stated evolution in the evidence worth emphasizing directly rather than smoothing over — MORE RECENT practice-based trials have shifted this picture substantially. A 5-year controlled trial of 1,262 restorations found NO significant difference between amalgam (3.2% AFR) and composite (4.4% AFR). A 10-year study of Class I/II restorations found no difference between amalgam (2.1% AFR) and composite. Most strikingly, a 12-year trial of 1,949 LARGE Class II restorations found composite performing SIGNIFICANTLY BETTER (1.7% AFR) than high-copper amalgam (2.4% AFR) — though within that same study, HIGH-caries-risk patients specifically showed amalgam holding a real longevity advantage for 3-surface restorations, with no material difference for 4- and 5-surface restorations [2, PDF p.565-566]. The honest, current-consensus conclusion Summitt's draws directly: it is not possible to say composite is a true amalgam-equivalent replacement capable of the same performance in ALL clinical situations, but with appropriate case selection and meticulous technique, posterior composite can serve very acceptably — up to 10 years' comparable performance has been directly demonstrated [2, PDF p.566].</w:t>
      </w:r>
    </w:p>
    <w:p>
      <w:pPr>
        <w:pStyle w:val="Heading2"/>
      </w:pPr>
      <w:r>
        <w:t>Preparation Design</w:t>
      </w:r>
    </w:p>
    <w:p>
      <w:r>
        <w:rPr>
          <w:i w:val="0"/>
        </w:rPr>
        <w:t>Cross-reference 6.3.1's discussion of the enamel-circle/cusp-doubling mechanics directly — preparation design (tunnel vs. slot vs. traditional trench-and-box) is not a separate longevity factor from failure mode, it is the SAME mechanism viewed prospectively rather than retrospectively [1, p.292].</w:t>
      </w:r>
    </w:p>
    <w:p>
      <w:pPr>
        <w:pStyle w:val="Heading2"/>
      </w:pPr>
      <w:r>
        <w:t>Oral Hygiene, Diet, and Parafunctional Habits</w:t>
      </w:r>
    </w:p>
    <w:p>
      <w:r>
        <w:rPr>
          <w:i w:val="0"/>
        </w:rPr>
        <w:t>Directly corroborating 6.3.1's caries-control principle: disease control, not restoration quality alone, is the dominant longevity factor — the same restorative material and technique can survive indefinitely in a disease-controlled mouth or fail rapidly in an uncontrolled one [1, p.290]. For ceramic restorations specifically, unbalanced occlusion driving parafunctional load is named directly as a real, avoidable cause of bulk failure, making occlusal balance a genuine prerequisite for ceramic longevity rather than a separate consideration [1, p.294].</w:t>
      </w:r>
    </w:p>
    <w:p>
      <w:pPr>
        <w:pStyle w:val="Heading2"/>
      </w:pPr>
      <w:r>
        <w:t>Opposing Dentition</w:t>
      </w:r>
    </w:p>
    <w:p>
      <w:r>
        <w:rPr>
          <w:i w:val="0"/>
        </w:rPr>
        <w:t>A genuinely material-specific consideration worth stating directly: gold opposed by a high-wear-factor ceramic restoration is a real, named cause of gold marginal wear failure over time [1, p.293], while several ceramic core systems (e.g., heat-pressed ceramics, zirconia) require routine monitoring of OPPOSING tooth wear specifically, since some ceramic surfaces can wear opposing natural enamel at rates comparable to or exceeding enamel-on-enamel wear [2, PDF p.941].</w:t>
      </w:r>
    </w:p>
    <w:p>
      <w:pPr>
        <w:pStyle w:val="Heading1"/>
      </w:pPr>
      <w:r>
        <w:t>6.3.3 Longevity Data — Real, Evidence-Based Figures</w:t>
      </w:r>
    </w:p>
    <w:p>
      <w:r>
        <w:rPr>
          <w:i w:val="0"/>
        </w:rPr>
        <w:t>Rather than restate the outline's placeholder longevity ranges, this section replaces them with actual named, cited figures from the literature reviewed in Summitt's — presented with their real follow-up periods and study context, since a bare average without context is genuinely less useful than a specific, sourced data point.</w:t>
      </w:r>
    </w:p>
    <w:p>
      <w:r>
        <w:rPr>
          <w:i w:val="0"/>
        </w:rPr>
        <w:t>• Amalgam vs. composite AFR (various studies, 3-12 year follow-up): amalgam AFRs ranging 0.8-3.2% depending on study; composite AFRs ranging 1.7-4.4% depending on study — with the MORE RECENT, longer-duration studies showing the smallest gap (or even composite outperforming amalgam in one 12-year large-restoration trial) [2, PDF p.565-566].</w:t>
      </w:r>
    </w:p>
    <w:p>
      <w:r>
        <w:rPr>
          <w:i w:val="0"/>
        </w:rPr>
        <w:t>• Posterior composite color match: 93% still acceptable at 10 years; 94% still excellent at 17 years [2, PDF p.566].</w:t>
      </w:r>
    </w:p>
    <w:p>
      <w:r>
        <w:rPr>
          <w:i w:val="0"/>
        </w:rPr>
        <w:t>• Anterior all-ceramic crowns (IPS Empress, heat-pressed): survival rate &gt;95% through 11 years of observation [2, PDF p.941].</w:t>
      </w:r>
    </w:p>
    <w:p>
      <w:r>
        <w:rPr>
          <w:i w:val="0"/>
        </w:rPr>
        <w:t>• In-Ceram Alumina anterior crowns: 87.5% survival at 15 years (163 units), comparable to reported metal-ceramic crown survival; core/porcelain fracture rates of approximately 0.6%/0.3% per year respectively [2, PDF p.943].</w:t>
      </w:r>
    </w:p>
    <w:p>
      <w:r>
        <w:rPr>
          <w:i w:val="0"/>
        </w:rPr>
        <w:t>• Procera (alumina-core) anterior crowns: 97-100% survival at 5-7 years, regardless of cement used [2, PDF p.943].</w:t>
      </w:r>
    </w:p>
    <w:p>
      <w:r>
        <w:rPr>
          <w:i w:val="0"/>
        </w:rPr>
        <w:t>• IPS e.max (lithium disilicate) crowns: 94-100% survival at 2-5 years across general-practice and controlled-clinical-setting studies [2, PDF p.945].</w:t>
      </w:r>
    </w:p>
    <w:p>
      <w:r>
        <w:rPr>
          <w:i w:val="0"/>
        </w:rPr>
        <w:t>• Zirconia single crowns: 93% cumulative 3-year survival in one private-practice cohort, with the majority of failures attributable specifically to VENEERING-CERAMIC CHIPPING rather than the zirconia core itself — a real, material-specific weak point distinct from the core's own mechanical strength [2, PDF p.945].</w:t>
      </w:r>
    </w:p>
    <w:p>
      <w:r>
        <w:rPr>
          <w:i w:val="0"/>
        </w:rPr>
        <w:t>A real, honest synthesis point worth stating directly rather than implying these figures rank materials on a single scale: these are not directly comparable numbers, since they come from different tooth positions (anterior vs. posterior), different loading conditions, and different follow-up durations — the METHODOLOGICAL lesson from this literature (patient selection, technique sensitivity, and practice-setting differences all materially affect outcomes) matters as much as any single percentage [2, PDF p.566].</w:t>
      </w:r>
    </w:p>
    <w:p>
      <w:pPr>
        <w:pStyle w:val="Heading1"/>
      </w:pPr>
      <w:r>
        <w:t>6.3.4 Replacement Decision-Making</w:t>
      </w:r>
    </w:p>
    <w:p>
      <w:pPr>
        <w:pStyle w:val="Heading2"/>
      </w:pPr>
      <w:r>
        <w:t>When to Replace vs. Repair</w:t>
      </w:r>
    </w:p>
    <w:p>
      <w:r>
        <w:rPr>
          <w:i w:val="0"/>
        </w:rPr>
        <w:t>A real, direct clinical philosophy worth stating up front: each time a restoration is replaced rather than repaired, there is inevitably FURTHER loss of tooth structure, and what remains is weakened further — tooth structure is a genuinely finite resource, so it is desirable that all relevant factors be weighed before deciding to remove all existing restorative material, since in many cases repair of the existing restoration may be entirely adequate [1, p.289]. A real, practical evaluation caution: interpretation of failure should NEVER rest on external appearance alone, since this can be genuinely deceptive — the cause of failure must first be assessed and, if possible, fully determined, and it is often not possible to be certain there is no further active caries beneath an existing restoration, or to assess pulpal condition, without actually removing it [1, p.289].</w:t>
      </w:r>
    </w:p>
    <w:p>
      <w:r>
        <w:rPr>
          <w:i w:val="0"/>
        </w:rPr>
        <w:t>Repair vs. replacement is genuinely material-dependent, not a uniform rule: amalgam's self-sealing corrosion makes limited MARGIN repair a reasonable proposition in many cases, but composite has no such safety margin, and marginal failure can progress to caries dangerously fast — in most cases requiring extensive replacement rather than a limited reseal, with resealing reserved specifically for relatively NEW restorations kept under careful subsequent observation [1, p.291]. For glass-ionomer, the weak union between old and new GIC generally makes it best to remove ALL existing material down to sound tooth structure to regenerate a fresh ion-exchange adhesion layer, rather than attempting a partial repair — though partial removal with a composite-resin lamination over the remainder is a genuine alternative when appropriate [1, p.294-295].</w:t>
      </w:r>
    </w:p>
    <w:p>
      <w:pPr>
        <w:pStyle w:val="Heading2"/>
      </w:pPr>
      <w:r>
        <w:t>Repair Techniques (Bonded Overlay, Fresh Restoration)</w:t>
      </w:r>
    </w:p>
    <w:p>
      <w:r>
        <w:rPr>
          <w:i w:val="0"/>
        </w:rPr>
        <w:t>Real, material-specific repair options worth using directly: minor enamel-margin DITCHING can often be conservatively opened with a fine tapered diamond bur and restored with glass-ionomer cement — but if the defect is long-standing, the dentin beneath must first be explored to rule out active caries underneath before proceeding [1, p.290-291]. Gold margins can be repaired with gold foil, or with glass-ionomer cement for small defects not under heavy occlusal load. A lost cusp does not always require full restoration redesign: where a protective restoration is already in place and sustaining the occlusion, the defect can sometimes simply be built up with added material or a composite/glass-ionomer veneer — though the remaining restoration must then be re-evaluated as soundly based enough to bear the ADDED load it is now carrying, and the rest of the tooth structure should be explored for an additional, not-yet-visible split before finalizing this approach [1, p.292].</w:t>
      </w:r>
    </w:p>
    <w:p>
      <w:pPr>
        <w:pStyle w:val="Heading2"/>
      </w:pPr>
      <w:r>
        <w:t>Cost-Benefit Analysis and Material Selection at Replacement</w:t>
      </w:r>
    </w:p>
    <w:p>
      <w:r>
        <w:rPr>
          <w:i w:val="0"/>
        </w:rPr>
        <w:t>Mount's gives a genuinely structured, material-by-material indications/contraindications framework for deciding what to place AT replacement, worth using directly as a decision checklist spanning caries rate, occlusal load, remaining tooth-structure protection, esthetics, cavity size, and economics [1, p.296-298]:</w:t>
      </w:r>
    </w:p>
    <w:p>
      <w:r>
        <w:rPr>
          <w:i w:val="0"/>
        </w:rPr>
        <w:t>• GLASS-IONOMER — indicated for a high caries-rate patient (continuing ion exchange, fluoride release, and remineralization potential), simple/technique-tolerant placement, and long-term PROVISIONAL use; contraindicated under heavy unsupported occlusal load and in xerostomia (it is water-based).</w:t>
      </w:r>
    </w:p>
    <w:p>
      <w:r>
        <w:rPr>
          <w:i w:val="0"/>
        </w:rPr>
        <w:t>• COMPOSITE RESIN — indicated for small-to-moderate lesions with excellent short-term esthetics and a reliable enamel seal; contraindicated for extensive cavities (contour/anatomy difficulty), high-caries-rate patients (no inherent bacterial resistance), and technique-demanding/costly placement, with genuinely uncertain long-term dentin adhesion unless laminated over a glass-ionomer base.</w:t>
      </w:r>
    </w:p>
    <w:p>
      <w:r>
        <w:rPr>
          <w:i w:val="0"/>
        </w:rPr>
        <w:t>• AMALGAM — indicated for moderate-to-large cavities and high-caries-rate patients (self-sealing corrosion, economical repair), simple and placement-tolerant; contraindicated on mercury/health-hazard and esthetic (blue-grey discoloration) grounds, and for small initial lesions where an adhesive material is preferable.</w:t>
      </w:r>
    </w:p>
    <w:p>
      <w:r>
        <w:rPr>
          <w:i w:val="0"/>
        </w:rPr>
        <w:t>• GOLD — indicated where maximum longevity justifies the added cost, and where thin-section protection of remaining tooth structure is needed; contraindicated in high-caries-rate patients (no inherent bacterial resistance despite glass-ionomer luting cement offering partial protection) and where cost/complexity is prohibitive.</w:t>
      </w:r>
    </w:p>
    <w:p>
      <w:r>
        <w:rPr>
          <w:i w:val="0"/>
        </w:rPr>
        <w:t>• PORCELAIN — indicated where esthetics is the dominant priority and physical properties/indirect fabrication support full occlusal reconstruction; contraindicated in high-caries-rate patients or heavy/unresolved occlusal load, and genuinely complex/expensive to fabricate correctly.</w:t>
      </w:r>
    </w:p>
    <w:p>
      <w:pPr>
        <w:pStyle w:val="Heading2"/>
      </w:pPr>
      <w:r>
        <w:t>Patient Preference and Philosophy</w:t>
      </w:r>
    </w:p>
    <w:p>
      <w:r>
        <w:rPr>
          <w:i w:val="0"/>
        </w:rPr>
        <w:t>A real, direct statement of the overall decision principle worth closing on: apart from the non-negotiable requirement of controlling active caries disease, no single factor listed above should dominate the replacement-material decision in isolation from the others — the patient's long-term well-being and restorative stability is the organizing priority the whole indications/contraindications framework serves, not any one material's individual properties considered alone [1, p.296].</w:t>
      </w:r>
    </w:p>
    <w:p>
      <w:pPr>
        <w:pStyle w:val="Heading1"/>
      </w:pPr>
      <w:r>
        <w:t>References (Vancouver Style)</w:t>
      </w:r>
    </w:p>
    <w:p>
      <w:r>
        <w:t>1. Mount GJ. Failures of Individual Restorations and Their Management. In: Mount GJ, Hume WR, Ngo HC, Wolff MS, editors. Preservation and Restoration of Tooth Structure. 3rd ed. Chichester: Wiley-Blackwell; 2016. Ch.19.</w:t>
      </w:r>
    </w:p>
    <w:p>
      <w:r>
        <w:t>2. Summitt JB, Robbins JW, Hilton TJ, Schwartz RS, editors. Summitt's Fundamentals of Operative Dentistry: A Contemporary Approach. Chicago: Quintessence. Ch.11 (Resin Composite for Posterior Restorations) and Ch.18 (Ceramic Crowns).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