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6.4: Non-Carious Tooth Structure Loss</w:t>
      </w:r>
    </w:p>
    <w:p>
      <w:r>
        <w:rPr>
          <w:i w:val="0"/>
        </w:rPr>
        <w:t>Note on Sources: "Textbook of Conservative &amp; Restorative Dentistry" was checked directly and again returned zero hits for erosion/abrasion/attrition/abfraction/non-carious — the THIRD consecutive Sub-Module 6 build in which this source has been checked and found to have no content; this is stated explicitly rather than a citation forced, and is worth flagging as a standing pattern rather than treating each instance as isolated. Pickard's Manual, 9th ed. (Ch.1, §1.3, "Toothwear ('tooth surface loss')") [1] is used for etiology and classification — a real, named comparative table (Table 1.1) covering all four mechanisms plus detailed intrinsic/extrinsic acid-source medicine. Essentials of Preclinical Conservative Dentistry (Ch.21, "Non-Carious Lesions of the Tooth Surface") [2] is the primary source for lesion-specific clinical detail, morphology classification, and treatment sequencing, including real named scoring indices (an attrition index and the BEWE erosion index) not found elsewhere in this project's source set. Advanced Operative Dentistry (Ricketts, Ch.4, "Tooth Wear") [3] was additionally mined — though not named in the outline — because its "Management of tooth wear" section maps almost exactly onto 6.4.5's own subheadings (early detection/monitoring, preventive management, dietary advice, fluoride, saliva, dentine bonding agents, splint therapy) and contributes real, quantified, evidence-cited management detail the other two sources do not.</w:t>
      </w:r>
    </w:p>
    <w:p>
      <w:pPr>
        <w:pStyle w:val="Heading1"/>
      </w:pPr>
      <w:r>
        <w:t>6.4.1 Erosion</w:t>
      </w:r>
    </w:p>
    <w:p>
      <w:r>
        <w:rPr>
          <w:i w:val="0"/>
        </w:rPr>
        <w:t>EROSION is the irreversible loss of dental hard tissue through a chemical (acid) process NOT involving bacteria — genuinely distinct from caries, which is bacterially mediated. Erosion is often the common denominator underlying the broader multifactorial pattern of clinical tooth wear, since acid-softened tooth surfaces become more vulnerable to subsequent mechanical wear from attrition or abrasion [1, p.9].</w:t>
      </w:r>
    </w:p>
    <w:p>
      <w:pPr>
        <w:pStyle w:val="Heading2"/>
      </w:pPr>
      <w:r>
        <w:t>Extrinsic Factors</w:t>
      </w:r>
    </w:p>
    <w:p>
      <w:r>
        <w:rPr>
          <w:i w:val="0"/>
        </w:rPr>
        <w:t>Extrinsic acid sources include excessive intake of acidic food/drink (citrus fruit and juices, pickles and vinegar-containing foods, carbonated drinks — including "diet"/health drinks — and some low-pH mouthwashes) and drinking HABITS specifically (through a straw, or frothing the drink around the mouth) rather than the acid alone; the specific acids involved include citric, carbonic, acetic, hydrochloric, and phosphoric acids. Genuinely, extrinsic erosion is often associated with a patient actively pursuing a "healthy lifestyle" (frequent citrus/health-drink consumption), meaning patient education about the erosive potential of an otherwise healthy diet is a real, necessary part of management. Occupational extrinsic erosion (wine tasters, acid-factory workers) is historically important but now rare due to workplace health and safety regulation [1, p.9].</w:t>
      </w:r>
    </w:p>
    <w:p>
      <w:pPr>
        <w:pStyle w:val="Heading2"/>
      </w:pPr>
      <w:r>
        <w:t>Intrinsic Factors</w:t>
      </w:r>
    </w:p>
    <w:p>
      <w:r>
        <w:rPr>
          <w:i w:val="0"/>
        </w:rPr>
        <w:t>Intrinsic acid sources center on gastro-oesophageal reflux disease (GORD) and vomiting. GORD arises from transient relaxation or incompetence of the lower oesophageal sphincter, and real, named predisposing factors include fatty/spicy food eaten in large quantities (especially late at night), alcohol, certain medications (e.g., diazepam), and anything raising gastric pressure — obesity, pregnancy, lying-down posture, or even excessive exercise; GORD itself also predisposes to FURTHER GORD symptoms, and neuromuscular conditions can contribute. GORD management is genuinely medical before it is dental — diet/lifestyle modification, antacids (e.g., Gaviscon), acid-production-limiting drugs (proton pump inhibitors such as omeprazole, or H2 antagonists such as cimetidine), or surgical correction — and only once the underlying cause is addressed should the resulting dental damage be restored; the dentist may in fact be the FIRST clinician to notice GORD via its dental manifestations, warranting medical referral [1, p.9-10].</w:t>
      </w:r>
    </w:p>
    <w:p>
      <w:r>
        <w:rPr>
          <w:i w:val="0"/>
        </w:rPr>
        <w:t>Intrinsic acid can also enter the mouth via voluntary or involuntary VOMITING, with real, named causes worth distinguishing directly: psychosomatic causes (bulimia nervosa — affecting 1-2% of the adolescent population, F:M ratio 10:1; anorexia nervosa — affecting 0.1-1% of the teenage population, F:M ratio 10:1; rumination; stress-induced psychogenic vomiting), metabolic/endocrine causes (pregnancy), gastrointestinal causes (peptic ulcer/gastritis, hiatus hernia, achalasia — a narrowed lower oesophageal sphincter with reduced motility causing food stagnation/fermentation and regurgitation — and cerebral palsy), and drug-induced causes (cytotoxics directly, or gastric irritation from alcohol, aspirin, and other NSAIDs indirectly). As with GORD, the underlying cause must be identified and treated first, in close cooperation with the patient's physician, before restoring the dental damage [1, p.9-10].</w:t>
      </w:r>
    </w:p>
    <w:p>
      <w:pPr>
        <w:pStyle w:val="Heading2"/>
      </w:pPr>
      <w:r>
        <w:t>Patterns</w:t>
      </w:r>
    </w:p>
    <w:p>
      <w:r>
        <w:rPr>
          <w:i w:val="0"/>
        </w:rPr>
        <w:t>A real, specific site-distribution pattern distinguishes intrinsic from extrinsic erosion: INTRINSIC (GORD/vomiting) erosion is the most common overall cause and most characteristically affects the PALATAL surfaces of the maxillary anteriors and the occlusal/buccal surfaces of the lower molars, since regurgitated stomach acid pools against these surfaces. EXTRINSIC (dietary) erosion instead characteristically affects the LABIAL surfaces of the maxillary anteriors, where acidic drinks/foods make first, direct contact [1, Table 1.1]. Lesion MORPHOLOGY is genuinely distinct from abrasion or attrition: erosion lesions are broad, shallow excavations or depressions with NO sharp line angles and poorly defined margins, and the eroded enamel surface characteristically appears smooth and polished — hypersensitivity is the chief presenting complaint [2, p.250].</w:t>
      </w:r>
    </w:p>
    <w:p>
      <w:r>
        <w:rPr>
          <w:i w:val="0"/>
        </w:rPr>
        <w:t>Erosion may also occur on the LINGUAL surfaces of the anterior teeth (especially maxillary) as a genuinely distinct pattern specifically associated with intrinsic (gastric-reflux/vomiting) sources, and acidity generated by local acidosis in periodontal disease has also been noted as a contributing erosive factor worth being aware of [2, p.250].</w:t>
      </w:r>
    </w:p>
    <w:p>
      <w:pPr>
        <w:pStyle w:val="Heading2"/>
      </w:pPr>
      <w:r>
        <w:t>Cervical Erosion</w:t>
      </w:r>
    </w:p>
    <w:p>
      <w:r>
        <w:rPr>
          <w:i w:val="0"/>
        </w:rPr>
        <w:t>Cross-reference the wedge-shaped-defect combined-mechanism discussion in 6.4.4 below — cervical involvement in tooth wear is rarely erosion acting alone; erosion characteristically softens the surface first, after which mechanical (abrasion) or biomechanical (abfraction) mechanisms complete the cervical lesion, a real, named combined pathway worth stating directly rather than assigning a cervical lesion to a single cause by default [1, p.10].</w:t>
      </w:r>
    </w:p>
    <w:p>
      <w:pPr>
        <w:pStyle w:val="Heading2"/>
      </w:pPr>
      <w:r>
        <w:t>Management</w:t>
      </w:r>
    </w:p>
    <w:p>
      <w:r>
        <w:rPr>
          <w:i w:val="0"/>
        </w:rPr>
        <w:t>The FIRST management step is always elimination of the cause — treatment of the underlying GI/medical problem or dietary modification — before any restorative step is considered [2, p.250]. A real, quantified, evidence-cited scoring tool worth using directly for monitoring severity: the BASIC EROSIVE WEAR EXAMINATION (BEWE), devised by Bartlett et al. (2008), scores each surface 0 (no erosive wear) to 3 (hard-tissue loss &gt;50% of the surface area) — with a TOTAL MOUTH score of 0-2 signifying no risk, 3-8 low risk, 9-13 medium risk, and &gt;14 high risk [2, p.250].</w:t>
      </w:r>
    </w:p>
    <w:p>
      <w:r>
        <w:rPr>
          <w:i w:val="0"/>
        </w:rPr>
        <w:t>Restorative management follows the same general sequence described for abrasion/attrition below (6.4.5) — tooth-colored, well-bonding materials with minimal or no tooth preparation, with the important honest caveat that such restorations may require PERIODIC REPLACEMENT as the underlying erosive process, once controlled but not entirely arrested, continues at a reduced rate; full-coverage crowns (with or without root canal treatment where pulpal involvement has occurred) represent the final, most invasive option [2, p.250].</w:t>
      </w:r>
    </w:p>
    <w:p>
      <w:pPr>
        <w:pStyle w:val="Heading1"/>
      </w:pPr>
      <w:r>
        <w:t>6.4.2 Abrasion</w:t>
      </w:r>
    </w:p>
    <w:p>
      <w:r>
        <w:rPr>
          <w:i w:val="0"/>
        </w:rPr>
        <w:t>ABRASION is the wearing of tooth substance from GRINDING, RUBBING, or SCRAPING by an external mechanical (tooth-to-NON-tooth) source — most commonly toothbrush abrasion — distinguishing it mechanistically from attrition (tooth-to-tooth) and erosion (chemical, no mechanical contact) [2, p.248].</w:t>
      </w:r>
    </w:p>
    <w:p>
      <w:pPr>
        <w:pStyle w:val="Heading2"/>
      </w:pPr>
      <w:r>
        <w:t>Mechanical Removal</w:t>
      </w:r>
    </w:p>
    <w:p>
      <w:r>
        <w:rPr>
          <w:i w:val="0"/>
        </w:rPr>
        <w:t>Abrasion lesions are most commonly seen on the FACIAL surfaces, with the cervical region the most frequently affected site, and premolars the most commonly involved teeth. A real, genuinely specific handedness pattern worth stating directly: these defects are more common on the LEFT side of the mouth in right-handed patients (and vice versa for left-handed patients), because a right-handed person typically brushes the opposite (left) side of their own mouth more vigorously [2, p.248].</w:t>
      </w:r>
    </w:p>
    <w:p>
      <w:r>
        <w:rPr>
          <w:i w:val="0"/>
        </w:rPr>
        <w:t>Abrasion lesions are classified by real, distinct MORPHOLOGY [2, p.249]: NOTCH/V-SHAPED defects (oblique occlusal and cervical walls intersecting at depth, with no distinct axial wall between them); C-SHAPED defects (a C-shaped cross-section with rounded floors); UNDERCUT CONCAVE defects (occlusal and cervical walls intersecting with a DEFINITE axial wall between them); and DIVERGENT BOX defects (a definite axial wall present, with the occlusal and cervical walls diverging toward the surface). Lesion DEPTH is also formally graded: Shallow (S, 0.1-0.5mm), Deep (D, &gt;0.5mm but no pulpal exposure), and Exposure (E, pulp exposed).</w:t>
      </w:r>
    </w:p>
    <w:p>
      <w:pPr>
        <w:pStyle w:val="Heading2"/>
      </w:pPr>
      <w:r>
        <w:t>Toothpaste Abrasivity</w:t>
      </w:r>
    </w:p>
    <w:p>
      <w:r>
        <w:rPr>
          <w:i w:val="0"/>
        </w:rPr>
        <w:t>A real, quantified, directly usable set of factors governs toothbrush-abrasion severity [2, p.249]: horizontal brushing strokes are more damaging than other strokes; a LARGER and more IRREGULAR abrasive particle size (in toothpaste) increases abrasion; a HIGHER percentage of abrasive in the dentifrice increases the abrasion rate; and — a genuinely useful, specific fact — TOOTHPOWDER is more abrasive than other dentifrice forms.</w:t>
      </w:r>
    </w:p>
    <w:p>
      <w:pPr>
        <w:pStyle w:val="Heading2"/>
      </w:pPr>
      <w:r>
        <w:t>Toothbrush Hardness</w:t>
      </w:r>
    </w:p>
    <w:p>
      <w:r>
        <w:rPr>
          <w:i w:val="0"/>
        </w:rPr>
        <w:t>The GREATER the diameter of the toothbrush bristle, the more abrasion it causes, and the GREATER the force used during brushing, the higher the resulting abrasion — both real, directly modifiable risk factors, alongside brushing frequency and duration [2, p.248-249].</w:t>
      </w:r>
    </w:p>
    <w:p>
      <w:pPr>
        <w:pStyle w:val="Heading2"/>
      </w:pPr>
      <w:r>
        <w:t>Cervical Location and "Notching" Appearance</w:t>
      </w:r>
    </w:p>
    <w:p>
      <w:r>
        <w:rPr>
          <w:i w:val="0"/>
        </w:rPr>
        <w:t>Beyond toothbrush abrasion, occupational NOTCHING at the incisal edge — classically of the maxillary central incisors — is a real, named pattern seen in carpenters, cobblers, and tailors who habitually hold nails or pins between their incisors [2, p.248]. Cervical abrasion specifically, on PROXIMAL surfaces, can also be caused by friction from objects such as toothpicks or interproximal brushes, and ill-fitting partial-denture clasps are a further real, named cause of localized abrasion [2, p.249].</w:t>
      </w:r>
    </w:p>
    <w:p>
      <w:pPr>
        <w:pStyle w:val="Heading2"/>
      </w:pPr>
      <w:r>
        <w:t>Prevention Strategies</w:t>
      </w:r>
    </w:p>
    <w:p>
      <w:r>
        <w:rPr>
          <w:i w:val="0"/>
        </w:rPr>
        <w:t>The real, directly stated sequence for managing confirmed abrasion [2, p.249]: (1) eliminate HORIZONTAL brushing — brushing should instead move gently from gums toward the teeth in a vertical motion (the MODIFIED STILLMAN'S technique, a real, named brushing technique worth using directly); (2) switch to a super-soft toothbrush and a paste (not powder) abrasive; (3) restore existing defects with GIC, resin-modified GIC, or composite resin to seal them; (4) prescribe desensitizing toothpastes/mouthwashes for home-care maintenance.</w:t>
      </w:r>
    </w:p>
    <w:p>
      <w:pPr>
        <w:pStyle w:val="Heading1"/>
      </w:pPr>
      <w:r>
        <w:t>6.4.3 Attrition</w:t>
      </w:r>
    </w:p>
    <w:p>
      <w:r>
        <w:rPr>
          <w:i w:val="0"/>
        </w:rPr>
        <w:t>ATTRITION is the mechanical wear of the incisal/occlusal tooth surface resulting from FUNCTIONAL or PARAFUNCTIONAL mandibular movement — genuine tooth-to-tooth contact, distinguishing it from abrasion's tooth-to-non-tooth mechanism [2, p.247]. A real, useful historical attribution: John Hunter was the first to formally describe attrition, abrasion, and erosion as distinct entities, as far back as 1778 [2, p.246].</w:t>
      </w:r>
    </w:p>
    <w:p>
      <w:pPr>
        <w:pStyle w:val="Heading2"/>
      </w:pPr>
      <w:r>
        <w:t>Occlusal/Incisal Wear</w:t>
      </w:r>
    </w:p>
    <w:p>
      <w:r>
        <w:rPr>
          <w:i w:val="0"/>
        </w:rPr>
        <w:t>OCCLUSAL SURFACE/INCISAL EDGE attrition flattens the cusps and incisal edges, resulting in a real loss of vertical dimension, with several named downstream consequences worth listing directly [2, p.248]: (1) possible overclosure during mandibular function, straining the stomatognathic system and eventually compromising masticatory efficiency and contributing to TMJ problems (cross-reference Sub-Module 5.4); (2) cheek biting; (3) tooth sensitivity from dentin exposure; (4) gingival irritation from food impaction. PROXIMAL SURFACE attrition ("proximal faceting") instead reduces the mesiodistal dimension of the teeth, causing drifting and reduced dental arch length; the resulting reduction in interproximal space interferes with interdental-papilla physiology, making plaque control more difficult and creating real periodontal risk.</w:t>
      </w:r>
    </w:p>
    <w:p>
      <w:pPr>
        <w:pStyle w:val="Heading2"/>
      </w:pPr>
      <w:r>
        <w:t>Grinding (Bruxism) and Clenching</w:t>
      </w:r>
    </w:p>
    <w:p>
      <w:r>
        <w:rPr>
          <w:i w:val="0"/>
        </w:rPr>
        <w:t>Attrition is genuinely age-dependent and physiological in its baseline form — every patient shows some degree of attrition — but PATHOLOGICAL, accelerated attrition is specifically caused by parafunctional habits such as bruxism [2, p.247]. Advanced Operative Dentistry adds a real, directly usable clinical-judgment point: the SAME degree of wear must be interpreted differently depending on patient age — wear considered normal "wear and tear" in a 70-year-old would be a genuine cause for concern ("alarm bells") in a 20-year-old presenting with the identical degree of wear [3, p.50].</w:t>
      </w:r>
    </w:p>
    <w:p>
      <w:pPr>
        <w:pStyle w:val="Heading2"/>
      </w:pPr>
      <w:r>
        <w:t>Systemic Factors</w:t>
      </w:r>
    </w:p>
    <w:p>
      <w:r>
        <w:rPr>
          <w:i w:val="0"/>
        </w:rPr>
        <w:t>Cross-reference 6.4.1's GORD/vomiting etiologies directly — systemic factors driving tooth structure loss most often act through the EROSION pathway rather than attrition itself, softening enamel that is then more vulnerable to subsequent mechanical (attritional) forces, precisely the "combined mechanism" logic formalized in 6.4.4 below [1, p.10].</w:t>
      </w:r>
    </w:p>
    <w:p>
      <w:pPr>
        <w:pStyle w:val="Heading2"/>
      </w:pPr>
      <w:r>
        <w:t>Restoration Wear</w:t>
      </w:r>
    </w:p>
    <w:p>
      <w:r>
        <w:rPr>
          <w:i w:val="0"/>
        </w:rPr>
        <w:t>A real, quantified clinical-assessment tool worth using directly rather than a purely descriptive judgment: attrition severity can be formally scored using a simple 0-4 index — 0 (no wear), 1 (minimal wear), 2 (noticeable flattening parallel to the occluding planes), 3 (flattening of cusps or grooves), 4 (total loss of contour or identifiable dentin exposure) [2, p.246].</w:t>
      </w:r>
    </w:p>
    <w:p>
      <w:pPr>
        <w:pStyle w:val="Heading2"/>
      </w:pPr>
      <w:r>
        <w:t>Age-Related Changes</w:t>
      </w:r>
    </w:p>
    <w:p>
      <w:r>
        <w:rPr>
          <w:i w:val="0"/>
        </w:rPr>
        <w:t>Management follows a defined sequence, worth using directly [2, p.247]: (1) control parafunctional activity (occlusal adjustment, night guards for bruxism); (2) diagnose and resolve any TMJ problem first; (3) protect exposed sensitive dentin (fluoride, dentin bonding agents); (4) consider restorative modalities such as crowns where indicated; (5) endodontic therapy or extraction for teeth with pulp involvement, according to restorability.</w:t>
      </w:r>
    </w:p>
    <w:p>
      <w:pPr>
        <w:pStyle w:val="Heading1"/>
      </w:pPr>
      <w:r>
        <w:t>6.4.4 Abfraction</w:t>
      </w:r>
    </w:p>
    <w:p>
      <w:r>
        <w:rPr>
          <w:i w:val="0"/>
        </w:rPr>
        <w:t>ABFRACTION lesions are wedge-shaped defects in the cervical region caused by ABNORMAL OCCLUSAL LOADING, producing combined mechanical and chemical wear — alternatively defined as microstructural loss of tooth substance specifically at areas of STRESS CONCENTRATION. A real, useful historical attribution worth including directly: the term "abfraction" was first proposed by Grippo (1991) specifically to distinguish this mechanism from abrasion and erosion [2, p.250].</w:t>
      </w:r>
    </w:p>
    <w:p>
      <w:pPr>
        <w:pStyle w:val="Heading2"/>
      </w:pPr>
      <w:r>
        <w:t>Stress Concentration at CEJ</w:t>
      </w:r>
    </w:p>
    <w:p>
      <w:r>
        <w:rPr>
          <w:i w:val="0"/>
        </w:rPr>
        <w:t>Abfraction is seen predominantly at the CERVICAL region because FLEXURE of the tooth under OFF-AXIS occlusal force leads to microfractures of the enamel and cementum specifically at the cemento-enamel junction, producing localized loss of hard tissue there — premolars are the most commonly affected teeth [2, p.250].</w:t>
      </w:r>
    </w:p>
    <w:p>
      <w:pPr>
        <w:pStyle w:val="Heading2"/>
      </w:pPr>
      <w:r>
        <w:t>Flexural Stress Theory</w:t>
      </w:r>
    </w:p>
    <w:p>
      <w:r>
        <w:rPr>
          <w:i w:val="0"/>
        </w:rPr>
        <w:t>The mechanism is genuinely biomechanical rather than purely mechanical-contact-based: occlusal loading causes enamel and dentin FLEXURE at a location AWAY from the actual point of loading, and it is this remote flexure — not direct wear at the loaded site itself — that produces pathological hard-tissue loss at the CEJ [2, p.250].</w:t>
      </w:r>
    </w:p>
    <w:p>
      <w:pPr>
        <w:pStyle w:val="Heading2"/>
      </w:pPr>
      <w:r>
        <w:t>Occlusal Force Direction</w:t>
      </w:r>
    </w:p>
    <w:p>
      <w:r>
        <w:rPr>
          <w:i w:val="0"/>
        </w:rPr>
        <w:t>Real, named contributing force patterns worth listing directly [2, p.250-251]: tensile stress from mastication and malocclusion; the general biomechanical effect of occlusal loading described above; and ECCENTRICALLY applied occlusal forces specifically, such as those generated during bruxism.</w:t>
      </w:r>
    </w:p>
    <w:p>
      <w:pPr>
        <w:pStyle w:val="Heading2"/>
      </w:pPr>
      <w:r>
        <w:t>Wedge-Shaped Defects</w:t>
      </w:r>
    </w:p>
    <w:p>
      <w:r>
        <w:rPr>
          <w:i w:val="0"/>
        </w:rPr>
        <w:t>A lesion genuinely produced by tooth flexure has characteristic, distinguishing features worth using directly for differential diagnosis against abrasion/erosion [2, p.251]: it sits AT OR NEAR the flexural fulcrum; its typical morphology is wedge-shaped WITH SHARP line angles (a real, useful contrast against erosion's poorly-defined, rounded margins) — though local abrasion or erosion may modify this shape, the underlying wedge pattern persists; and lesion SIZE correlates with the MAGNITUDE and FREQUENCY of the applied tensile force, not simply with time elapsed.</w:t>
      </w:r>
    </w:p>
    <w:p>
      <w:r>
        <w:rPr>
          <w:i w:val="0"/>
        </w:rPr>
        <w:t>Real, named downstream consequences worth listing directly: tooth hypersensitivity, genuine weakening of the tooth, reduced lifespan of any restoration subsequently placed there, TMJ dysfunction, and outright tooth fracture/wear [2, p.251].</w:t>
      </w:r>
    </w:p>
    <w:p>
      <w:pPr>
        <w:pStyle w:val="Heading2"/>
      </w:pPr>
      <w:r>
        <w:t>Multifactorial Etiology</w:t>
      </w:r>
    </w:p>
    <w:p>
      <w:r>
        <w:rPr>
          <w:i w:val="0"/>
        </w:rPr>
        <w:t>A genuinely important, honestly-stated theoretical point worth including directly rather than treating each mechanism as mutually exclusive: combined lesions are a real, proposed phenomenon in which more than one mechanism acts simultaneously, making the "exact" lesion type genuinely difficult to diagnose in many real cases [2, p.251]. ATTRITION-ABFRACTION describes a joint lesion where bruxism-driven attrition and off-axis-load-driven abfraction develop together. ABRASION-ABFRACTION describes either direction of interaction — excessive external friction causing tooth loss while off-axis occlusal load simultaneously produces abfraction, OR a pre-existing abfraction lesion having its size increased by subsequent excessive horizontal brushing. This combined-mechanism framework is the direct theoretical basis for why cervical lesions in general practice are often genuinely mixed in etiology rather than cleanly attributable to a single cause [2, p.251].</w:t>
      </w:r>
    </w:p>
    <w:p>
      <w:r>
        <w:rPr>
          <w:i w:val="0"/>
        </w:rPr>
        <w:t>Management follows the same real sequence given for attrition/abrasion above [2, p.251]: selective reshaping/recontouring so occlusal forces redirect down the tooth's central long axis; occlusal adjustment and parafunctional-habit management (night guards for bruxism); and restoration of the defect with a suitable material such as composite resin.</w:t>
      </w:r>
    </w:p>
    <w:p>
      <w:pPr>
        <w:pStyle w:val="Heading1"/>
      </w:pPr>
      <w:r>
        <w:t>6.4.5 Management of NCCL</w:t>
      </w:r>
    </w:p>
    <w:p>
      <w:pPr>
        <w:pStyle w:val="Heading2"/>
      </w:pPr>
      <w:r>
        <w:t>Etiology Identification and Elimination</w:t>
      </w:r>
    </w:p>
    <w:p>
      <w:r>
        <w:rPr>
          <w:i w:val="0"/>
        </w:rPr>
        <w:t>The unifying principle across all four mechanisms, worth stating once directly rather than repeating per lesion type: identify and eliminate the actual cause FIRST (medical referral for GORD/vomiting, brushing-technique correction for abrasion, occlusal adjustment/night guard for attrition/abfraction) — restoring the defect without addressing its cause simply resets the clock on the same destructive process [1, p.9-10; 2, p.247-251].</w:t>
      </w:r>
    </w:p>
    <w:p>
      <w:r>
        <w:rPr>
          <w:i w:val="0"/>
        </w:rPr>
        <w:t>Advanced Operative Dentistry adds a genuinely important, real EVIDENCE-BASED caution on how much confidence to place in prevention: there IS some evidence that preventive advice reduces the rate of tooth wear back toward a rate consistent with normal ageing, but whether early enamel wear reliably PREDICTS later, more severe wear is honestly NOT known — and clinically, dentine exposure does not automatically mean the wear will continue at the same rate for the rest of the patient's life; wear activity may genuinely vary over time, with periods of progression and quiescence [3, p.50-51].</w:t>
      </w:r>
    </w:p>
    <w:p>
      <w:r>
        <w:rPr>
          <w:i w:val="0"/>
        </w:rPr>
        <w:t>A real, directly usable MONITORING technique worth including: the rate of tooth wear is traditionally assessed by comparing sequential, DATED study casts (cast in durable die stone, since models degrade over prolonged storage — giving dated models directly to the patient to bring to review appointments is a practical workaround for storage/relocation problems), or more simply by measuring buccal, incisal/occlusal, and palatal tooth-surface height/width with a periodontal probe at successive visits [3, p.51].</w:t>
      </w:r>
    </w:p>
    <w:p>
      <w:pPr>
        <w:pStyle w:val="Heading2"/>
      </w:pPr>
      <w:r>
        <w:t>Restorative Management</w:t>
      </w:r>
    </w:p>
    <w:p>
      <w:r>
        <w:rPr>
          <w:i w:val="0"/>
        </w:rPr>
        <w:t>A real, honest clinical-decision framework for WHEN to move from monitoring to restoring, worth using directly: the decision depends partly on patient expectations/wishes, and partly on whether the teeth are likely to survive for a lifetime without intervention. The two main indications that eventually DEMAND restorative treatment are POOR APPEARANCE and INTRACTABLE SENSITIVITY; whether the rate of wear itself threatens tooth longevity is a further consideration, but this judgment is explicitly acknowledged as an ESTIMATE based on clinical experience, since the true rate/impact of prevention can never be definitively known for an individual patient [3, p.53]. A genuinely practical, easily overlooked factor: because severe wear rarely affects a single tooth (more commonly sextants, quadrants, or whole arches), the COST of comprehensive restorative care is high — the patient's ability to afford both the initial treatment AND its long-term maintenance is itself a real, legitimate factor in the restore-vs-monitor decision, not merely an administrative afterthought [3, p.53].</w:t>
      </w:r>
    </w:p>
    <w:p>
      <w:pPr>
        <w:pStyle w:val="Heading2"/>
      </w:pPr>
      <w:r>
        <w:t>Material Selection (Flowable Composite, GIC)</w:t>
      </w:r>
    </w:p>
    <w:p>
      <w:r>
        <w:rPr>
          <w:i w:val="0"/>
        </w:rPr>
        <w:t>Tooth-colored, well-adhering materials (GIC, resin-modified GIC, composite resin) capable of good bonding are the standard restorative choice across all four NCCL mechanisms, used with MINIMAL or NO tooth preparation specifically because these lesions already provide a naturally roughened, chemically-etchable surface (particularly in erosion) that supports adhesion without further cutting [2, p.250]. Dentine bonding agents have a real, DIRECTLY preventive as well as restorative role: clinical and laboratory studies have shown dentine bonding agents alone can reduce the AMOUNT of wear by HALF over a 6-month period — though the agent itself gradually wears away mechanically, so repeated re-application at regular review visits is the realistic maintenance protocol on susceptible surfaces, not a one-time application [3, p.52].</w:t>
      </w:r>
    </w:p>
    <w:p>
      <w:pPr>
        <w:pStyle w:val="Heading2"/>
      </w:pPr>
      <w:r>
        <w:t>Preparation Design Minimal</w:t>
      </w:r>
    </w:p>
    <w:p>
      <w:r>
        <w:rPr>
          <w:i w:val="0"/>
        </w:rPr>
        <w:t>Consistent across sources: minimal-preparation, adhesive restoration is the preferred approach for all four NCCL types, reserving full-coverage crowns (with or without prior root canal treatment) for genuinely advanced cases with significant structural loss or pulpal involvement, rather than defaulting to more invasive preparation for a lesion that adhesive technique can manage conservatively [2, p.250].</w:t>
      </w:r>
    </w:p>
    <w:p>
      <w:pPr>
        <w:pStyle w:val="Heading2"/>
      </w:pPr>
      <w:r>
        <w:t>Preservation of Cementum</w:t>
      </w:r>
    </w:p>
    <w:p>
      <w:r>
        <w:rPr>
          <w:i w:val="0"/>
        </w:rPr>
        <w:t>This principle follows directly from the cervical anatomy involved in all four mechanisms — abrasion, erosion, attrition-driven cervical exposure, and abfraction all concentrate damage at or near the CEJ, where cementum is thin and easily over-instrumented; minimal, adhesive-first preparation (rather than mechanical retention-groove cutting, as would be used for a caries-driven cavity) is precisely how the sources above avoid unnecessary further loss of this already-vulnerable structure [2, p.250-251].</w:t>
      </w:r>
    </w:p>
    <w:p>
      <w:pPr>
        <w:pStyle w:val="Heading2"/>
      </w:pPr>
      <w:r>
        <w:t>Whitening Interference with Restoration</w:t>
      </w:r>
    </w:p>
    <w:p>
      <w:r>
        <w:rPr>
          <w:i w:val="0"/>
        </w:rPr>
        <w:t>Cross-reference Sub-Module 6.5 (Natural Tooth Bleaching) directly for the full timing/sequencing rationale — restorations placed to manage NCCL should be shade-matched only AFTER any planned bleaching is complete, since freshly bleached tooth structure has measurably reduced bond strength from residual oxygen inhibiting resin polymerization, and the tooth's post-bleaching shade will be lighter than its pre-bleaching shade, making early shade-matching pointless as well as technique-compromising.</w:t>
      </w:r>
    </w:p>
    <w:p>
      <w:pPr>
        <w:pStyle w:val="Heading1"/>
      </w:pPr>
      <w:r>
        <w:t>References (Vancouver Style)</w:t>
      </w:r>
    </w:p>
    <w:p>
      <w:r>
        <w:t>1. Kidd EAM, Fejerskov O, Nyvad B, editors. Pickard's Manual of Operative Dentistry. 9th ed. Oxford: Oxford University Press. Ch.1, §1.3, "Toothwear ('tooth surface loss')."</w:t>
      </w:r>
    </w:p>
    <w:p>
      <w:r>
        <w:t>2. Sikri VK, Gade V. Non-Carious Lesions of the Tooth Surface. In: Essentials of Preclinical Conservative Dentistry. Ch.21.</w:t>
      </w:r>
    </w:p>
    <w:p>
      <w:r>
        <w:t>3. Bartlett D. Tooth Wear. In: Ricketts D, Bartlett D, editors. Advanced Operative Dentistry: A Practical Approach. Edinburgh: Churchill Livingstone/Elsevier; 2011. Ch.4.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