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8.2: Infection Control &amp; Patient Safety</w:t>
      </w:r>
    </w:p>
    <w:p>
      <w:r>
        <w:rPr>
          <w:i w:val="0"/>
        </w:rPr>
        <w:t>Note on Sources: Built from the two sources named in the outline. Sturdevant's Ch.8, "Infection Control" (Crawford, Leonard) [1] is the primary source for PPE detail and sterilization methodology — an exceptionally deep, US/OSHA-framed chapter with real quantified parameters (temperatures, times, pressures, percentages) for every sterilization modality. Pickard's Manual, 9th ed. (§5.3-5.4) [2] contributes a genuinely complementary UK/current-practice framing (its own quantified sterilizer parameters, a structured PPE/precautions table, and a dedicated injury-site table for patient safety) plus the full patient-safety-incident content — management of eye, airway, and soft-tissue injury, including the real specific first-aid technique for an inhaled/swallowed foreign object — that Sturdevant's chapter does not cover at all.</w:t>
      </w:r>
    </w:p>
    <w:p>
      <w:pPr>
        <w:pStyle w:val="Heading1"/>
      </w:pPr>
      <w:r>
        <w:t>8.2.1 Infection Control / Personal Protective Equipment (PPE)</w:t>
      </w:r>
    </w:p>
    <w:p>
      <w:pPr>
        <w:pStyle w:val="Heading2"/>
      </w:pPr>
      <w:r>
        <w:t>PPE Selection and Use for Operative Procedures</w:t>
      </w:r>
    </w:p>
    <w:p>
      <w:r>
        <w:rPr>
          <w:i w:val="0"/>
        </w:rPr>
        <w:t>Pickard's gives a real, structured PPE/precautions reference table worth reproducing directly [2, p.53]: HAND HYGIENE — soap/detergent and running water, with alcohol hand gel before donning and after removing gloves; SKIN DRESSINGS — cuts, abrasions, and skin conditions must be covered with waterproof dressings; SHARPS HANDLING — used needles/sharps disposed of directly by the user into rigid sharps containers, with re-sheathing only via a dedicated re-sheathing device or single-handed technique (never two-handed); EYEWEAR — reusable protective eyewear (goggles with side protection, or visors over spectacles) worn whenever there is a risk of blood/body-fluid splash to the face; MASKS — single-use surgical masks provide a physical barrier to splashes but do NOT protect the wearer from aerosol inhalation, for which a respirator-type mask is required instead; GLOVES — single-use natural rubber latex (non-powdered), nitrile, or polychloroprene gloves; APRONS — single-use plastic aprons to prevent clothing contamination.</w:t>
      </w:r>
    </w:p>
    <w:p>
      <w:r>
        <w:rPr>
          <w:i w:val="0"/>
        </w:rPr>
        <w:t>A real, specific clinical dress-code detail worth including directly: current guidelines require short-sleeved tunics/uniforms, no loosely hanging neckties, no jewelry except a wedding band, and footwear covering the tops of the feet [2, p.53]. The PATIENT must also be protected directly: a disposable neck towel placed over the patient and suitable eye protection worn while the patient is reclined [2, p.53].</w:t>
      </w:r>
    </w:p>
    <w:p>
      <w:r>
        <w:rPr>
          <w:i w:val="0"/>
        </w:rPr>
        <w:t>Sturdevant's contributes real, quantified glove-specific detail beyond the general PPE table: FDA regulations require fewer than 4% of gloves in a batch to have a leak detectable by a water test (some manufacturers set an internal standard of 2-3%); a real, cited study found viruses penetrate roughly 1 intact latex glove in 100 [1, p.382]. Gloves must NEVER be washed with hand soap for reuse — washing genuinely reduces glove integrity and leaves personnel MORE vulnerable, not less; if a task requires touching something outside the immediate operative field mid-procedure, tongs, a paper towel, or a food-handler's overglove should be used instead of washing gloved hands [1, p.382]. A real, important distinction worth including directly: latex-allergy symptoms must not be confused with simple physical irritation from handwashing — there is currently no cure for true latex allergy, and avoidance of latex products is the only real treatment [1, p.382]. Puncture-resistant NITRILE utility gloves (not treatment gloves) should be worn specifically while cleaning and sorting used sharp instruments, since they can be washed, disinfected, or steam-autoclaved for reuse in a way treatment gloves cannot [1, p.382].</w:t>
      </w:r>
    </w:p>
    <w:p>
      <w:r>
        <w:rPr>
          <w:i w:val="0"/>
        </w:rPr>
        <w:t>Real, specific technique detail for eyewear and masks worth using directly [1, p.382-383]: eyewear is put on with CLEAN hands BEFORE gloving, and removed with clean hands AFTER gloves are removed — grasped only by the temple pieces; a mask should similarly be grasped only by its ties/band at the back of the head, never touched on its contaminated front surface, and must be changed between EVERY patient or whenever it becomes moist/visibly soiled — discarded at the end of treatment rather than worn hanging around the neck, where its contaminated edges can rub against the skin. A genuinely important mask-selection point: dome-shaped masks are adequate barriers against SPATTER and considered protective against HBV/HIV, but are NOT adequate to hold back aerosol-borne respiratory pathogens (measles, influenza, tuberculosis) — the highest-filtration masks are the rectangular, folded surgical type, and their edges must be pressed close around the bridge of the nose specifically to protect against aerosols, not just spatter.</w:t>
      </w:r>
    </w:p>
    <w:p>
      <w:pPr>
        <w:pStyle w:val="Heading2"/>
      </w:pPr>
      <w:r>
        <w:t>Decontamination and Sterilization Procedures for Instruments Between Patients</w:t>
      </w:r>
    </w:p>
    <w:p>
      <w:r>
        <w:rPr>
          <w:i w:val="0"/>
        </w:rPr>
        <w:t>Pickard's describes the real, current physical workflow: a dedicated decontamination area, physically separated into DIRTY, STERILIZATION, and CLEAN zones with clearly demarcated contaminated-entry and clean-exit pathways — instruments are washed manually and placed in an ultrasonic bath to remove debris (a thermal washer-disinfector is recommended), and dental handpieces specifically require LUBRICATION both before and after sterilization, via manual aerosol oil or an automated air-driven cleaning/lubricating unit [2, p.53].</w:t>
      </w:r>
    </w:p>
    <w:p>
      <w:r>
        <w:rPr>
          <w:i w:val="0"/>
        </w:rPr>
        <w:t>Real, quantified sterilization parameters, worth comparing directly across the two sources' differing conventions rather than treating either alone as definitive: Pickard's conventional default steam-sterilizer setting is 134-137°C held for 3 minutes at 2.5 bar pressure [2, p.53]. Sturdevant's gives the equivalent US convention: STEAM PRESSURE (autoclave) sterilization requires a MINIMUM of 15 minutes at 250°F (121°C)/15 lb pressure for a light load, reducible to 7 minutes if temperature is raised to approximately 273°F (134°C)/30 lb pressure for WRAPPED instruments [1, p.391] — genuinely convergent with Pickard's own figure once unit conversion is accounted for.</w:t>
      </w:r>
    </w:p>
    <w:p>
      <w:r>
        <w:rPr>
          <w:i w:val="0"/>
        </w:rPr>
        <w:t>Four real, distinct sterilization MODALITIES are each described with their own specific advantages/disadvantages, worth using as a comparative framework [1, p.391-393]:</w:t>
      </w:r>
    </w:p>
    <w:p>
      <w:r>
        <w:rPr>
          <w:i w:val="0"/>
        </w:rPr>
        <w:t>• STEAM PRESSURE (autoclaving) — the most rapid, effective method for cloth surgical/towel packs; disadvantage: tends to rust carbon steel instruments/burs and can corrode diamond-instrument necks and carbide-bur shanks (a real, specific fix: burs can be protected by submerging them in 2% sodium nitrite solution during the cycle).</w:t>
      </w:r>
    </w:p>
    <w:p>
      <w:r>
        <w:rPr>
          <w:i w:val="0"/>
        </w:rPr>
        <w:t>• CHEMICAL VAPOR PRESSURE (chemiclaving) — operates at 270°F (131°C)/20 lb pressure, roughly a 30-minute cycle; genuinely sterilizes corrosion-sensitive carbon-steel instruments WITHOUT rust; disadvantage: heavy cloth wrapping/towels may not be adequately penetrated, and only sterilizer-manufacturer-supplied fluid may be used.</w:t>
      </w:r>
    </w:p>
    <w:p>
      <w:r>
        <w:rPr>
          <w:i w:val="0"/>
        </w:rPr>
        <w:t>• DRY HEAT — conventional gravity-convection ovens require 320°F (160°C) for 30 minutes MINIMUM (with a recommended 50% time safety margin added), while short-cycle, HIGH-temperature forced-draft ovens at 370-375°F (188-191°C) reduce this to just 6 minutes for unwrapped instruments (12 minutes wrapped); advantage: carbon steel instruments do not rust or lose their cutting edge if well dried first; disadvantage: without careful pyrometer calibration, gravity-convection dry heat ovens produce MORE sterilization failures than any other sterilizer type.</w:t>
      </w:r>
    </w:p>
    <w:p>
      <w:r>
        <w:rPr>
          <w:i w:val="0"/>
        </w:rPr>
        <w:t>• ETHYLENE OXIDE (ETOX) — the best method for complex instruments and delicate materials, operating well below 100°C over several hours (or overnight at room temperature for less expensive units); disadvantage: porous/plastic materials absorb the gas and require 24+ hours of aeration before they may safely contact skin or tissue.</w:t>
      </w:r>
    </w:p>
    <w:p>
      <w:r>
        <w:rPr>
          <w:i w:val="0"/>
        </w:rPr>
        <w:t>A real, important distinction worth stating directly: BOILING WATER does NOT kill spores and cannot achieve true sterilization — it is only a method of high-level DISINFECTION, reserved for situations where genuine sterilization is temporarily unavailable (e.g., a sterilizer breakdown), requiring complete submersion at 98-100°C for 10 minutes with the items kept covered by boiling water the entire time [1, p.393].</w:t>
      </w:r>
    </w:p>
    <w:p>
      <w:r>
        <w:rPr>
          <w:i w:val="0"/>
        </w:rPr>
        <w:t>Sterilization monitoring has a real, four-component structure worth using directly as a checklist [1, p.394]: (1) MECHANICAL monitoring — documenting the actual time/temperature/pressure reached each load, via automatic printout or manual log; (2) CHEMICAL INDICATOR STRIPS placed in every pack — an inexpensive, qualitative check that identifies gross breakdowns or overloading immediately on opening the pack, though NOT an accurate measure of actual time/temperature exposure on its own; (3) WEEKLY BIOLOGIC SPORE TESTING — the accepted definitive monitor of adequate time/temperature exposure, using heat-resistant spores calibrated to be killed only when true sterilization conditions are reached and sustained (any pack containing an implantable device must ALSO be individually biologically monitored); (4) a DOCUMENTATION NOTEBOOK recording all of the above, which serves both as an internal quality check and as real evidence of sterilization assurance should a post-treatment infection later raise a question of liability.</w:t>
      </w:r>
    </w:p>
    <w:p>
      <w:pPr>
        <w:pStyle w:val="Heading2"/>
      </w:pPr>
      <w:r>
        <w:t>Cross-Infection Risk Points Specific to Operative Dentistry</w:t>
      </w:r>
    </w:p>
    <w:p>
      <w:r>
        <w:rPr>
          <w:i w:val="0"/>
        </w:rPr>
        <w:t>AEROSOLS: as established above, a single-use surgical mask blocks SPATTER but not AEROSOL inhalation — a genuinely important distinction for operative procedures specifically, since high-speed rotary cutting and ultrasonic scaling both generate a real aerosol risk that a standard surgical mask does not fully address, requiring a respirator-type mask when that risk is elevated [2, p.53; 1, p.382-383].</w:t>
      </w:r>
    </w:p>
    <w:p>
      <w:r>
        <w:rPr>
          <w:i w:val="0"/>
        </w:rPr>
        <w:t>SHARPS: needle-disposal goals are stated directly and specifically [1, p.384]: (1) dispose of needles into a hard-walled, leak-proof, SEALABLE container bearing the OSHA biohazard label; (2) locate that container IN the operatory, close to where the needle is actually used; (3) never carry an unsheathed contaminated needle or an open container in a way that could endanger others or risk an accidental spill. TWO-HANDED resheathing of a needle is explicitly NOT permitted — a needle-sheath holder or other single-handed technique/device must be used instead [1, p.384]. The same sharps-safety logic extends directly to burs: they should be removed from the handpiece when finished, or if left hanging, positioned with the cutting end pointed AWAY from the operator's hands and body [1, p.384].</w:t>
      </w:r>
    </w:p>
    <w:p>
      <w:r>
        <w:rPr>
          <w:i w:val="0"/>
        </w:rPr>
        <w:t>CONTAMINATED IMPRESSIONS: cross-reference Sub-Module 5.3 directly for the impression-disinfection protocol itself — the underlying principle established in this sub-module is that any item leaving the mouth carrying blood/saliva (impressions, bite registrations, removable appliances sent to a laboratory) is a genuine cross-infection vector requiring the same disciplined decontamination logic applied to reusable instruments above, before it leaves the clinical area.</w:t>
      </w:r>
    </w:p>
    <w:p>
      <w:pPr>
        <w:pStyle w:val="Heading1"/>
      </w:pPr>
      <w:r>
        <w:t>8.2.2 Patient Safety and Risk Management</w:t>
      </w:r>
    </w:p>
    <w:p>
      <w:r>
        <w:rPr>
          <w:i w:val="0"/>
        </w:rPr>
        <w:t>Pickard's frames this directly as RISK MANAGEMENT: accidents will happen, but the real professional obligation is to minimize or eliminate the risk of them occurring in the first place, not merely to react well once they do [2, p.54]. Three real, vulnerable patient sites are identified directly, each with its own named causes and its own specific prevention measures — worth using as a structured reference table [2, p.54-55]:</w:t>
      </w:r>
    </w:p>
    <w:p>
      <w:r>
        <w:rPr>
          <w:i w:val="0"/>
        </w:rPr>
        <w:t>• EYES — injury from slipping sharp instruments, fracturing burs, restoration fragments, or aerosolized dental materials/body fluids, causing laceration, burn, or infection; prevented by protective glasses WITH SIDE COVERS worn whenever the patient is supine.</w:t>
      </w:r>
    </w:p>
    <w:p>
      <w:r>
        <w:rPr>
          <w:i w:val="0"/>
        </w:rPr>
        <w:t>• AIRWAY — small instruments (fractured burs, root-canal files), indirect restorations (crowns, inlays), implant components, or extracted tooth fragments that are inhaled or swallowed, risking lung infection or upper-airway blockage; prevented by rubber dam use, safety chains/floss tied to small instruments during use, and gauze squares placed intraorally to cover the back of the throat when rubber dam is not in use.</w:t>
      </w:r>
    </w:p>
    <w:p>
      <w:r>
        <w:rPr>
          <w:i w:val="0"/>
        </w:rPr>
        <w:t>• SOFT TISSUES (lips, mucosa, tongue) — caustic dental materials (acid etch, sodium hypochlorite), sharp instruments (including needles), rotary burs, heat, aggressive soft-tissue retraction, or compressed air introduced into an open wound, causing burns, lacerations, grazes, or surgical emphysema; prevented by correctly placed rubber dam with an adequate seal, proper handpiece/bur maintenance, never bending or reusing single-use needles, and never directing an air jet into broken mucosa or an exposed root canal.</w:t>
      </w:r>
    </w:p>
    <w:p>
      <w:pPr>
        <w:pStyle w:val="Heading2"/>
      </w:pPr>
      <w:r>
        <w:t>Management of Minor Injuries</w:t>
      </w:r>
    </w:p>
    <w:p>
      <w:r>
        <w:rPr>
          <w:i w:val="0"/>
        </w:rPr>
        <w:t>Real, specific first-aid management is given directly for each site [2, p.55]:</w:t>
      </w:r>
    </w:p>
    <w:p>
      <w:r>
        <w:rPr>
          <w:i w:val="0"/>
        </w:rPr>
        <w:t>EYES: if debris enters the eye (of either the patient OR a team member), immediate washing in an eye-bath with STERILE water is essential, with follow-up medical care arranged if needed.</w:t>
      </w:r>
    </w:p>
    <w:p>
      <w:r>
        <w:rPr>
          <w:i w:val="0"/>
        </w:rPr>
        <w:t>AIRWAY: for an inhalational blockage, the real, specific first-aid technique is to stand the patient bent forward at the hips and firmly slap their back to help dislodge the object from the oropharynx; the high-volume aspirator (if in use) should also be checked in case it has already captured the object. If the object genuinely cannot be accounted for and the patient is unsure whether they swallowed it, a CHEST RADIOGRAPH is required to localize the foreign object — it may be found in the bronchi, lungs, oesophagus, or stomach — and follow-up medical attention is required, particularly for a BRONCHIAL location, where bronchoscopy may be indicated [2, p.55]. A real, memorable illustration of why this radiograph is non-negotiable: a genuine case is documented of a swallowed gold crown identified on a stomach radiograph, confirming the object had passed the airway safely into the GI tract rather than lodging in the lung [2, p.55].</w:t>
      </w:r>
    </w:p>
    <w:p>
      <w:r>
        <w:rPr>
          <w:i w:val="0"/>
        </w:rPr>
        <w:t>SOFT TISSUES: hemostasis of cuts/abrasions must first be achieved; lip or mucosal cuts may require suturing. A real, specific and genuinely serious complication worth naming directly: CAUSTIC SODIUM HYPOCHLORITE BURNS, caused specifically by a LEAKING rubber dam during root canal therapy — cross-reference Module 2 for the endodontic-procedure context — may require medical attention and a suitable wound dressing to promote healing WITHOUT scarring. A real, easily overlooked patient-safety point specific to local anesthesia: patients with inferior alveolar nerve anesthesia must be warned directly that the numbness will persist for several hours afterward, and specifically cautioned to avoid biting/chewing their own numb lower lip or consuming hot food/drink during that window, since they cannot feel a self-inflicted burn or bite injury while still anesthetized [2, p.55].</w:t>
      </w:r>
    </w:p>
    <w:p>
      <w:pPr>
        <w:pStyle w:val="Heading2"/>
      </w:pPr>
      <w:r>
        <w:t>Documentation Requirements When an Incident Occurs</w:t>
      </w:r>
    </w:p>
    <w:p>
      <w:r>
        <w:rPr>
          <w:i w:val="0"/>
        </w:rPr>
        <w:t>Stated directly and unambiguously: in ALL cases of injury, the patient must be informed of what occurred, and the event must be documented COMPREHENSIVELY in the patient's clinical notes [2, p.55] — this is not an optional courtesy but a direct professional and dento-legal requirement, consistent with the same documentation discipline established for treatment planning generally in Sub-Module 8.1 above.</w:t>
      </w:r>
    </w:p>
    <w:p>
      <w:pPr>
        <w:pStyle w:val="Heading1"/>
      </w:pPr>
      <w:r>
        <w:t>References (Vancouver Style)</w:t>
      </w:r>
    </w:p>
    <w:p>
      <w:r>
        <w:t>1. Crawford JJ, Leonard RH Jr. Infection Control. In: Roberson TM, Heymann HO, Swift EJ Jr, editors. Sturdevant's Art and Science of Operative Dentistry. Ch.8.</w:t>
      </w:r>
    </w:p>
    <w:p>
      <w:r>
        <w:t>2. Kidd EAM, Fejerskov O, Nyvad B, editors. Pickard's Manual of Operative Dentistry. 9th ed. Oxford: Oxford University Press. §5.3, "Infection control/personal protective equipment (PPE)"; §5.4, "Patient safety and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