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2.3: Microbiology of Endodontic Infections</w:t>
      </w:r>
    </w:p>
    <w:p>
      <w:r>
        <w:rPr>
          <w:b/>
          <w:i w:val="0"/>
        </w:rPr>
        <w:t>Module 2 — Endodontics, Sub-Module 2: Endodontic Diseases &amp; Pathology</w:t>
      </w:r>
    </w:p>
    <w:p>
      <w:pPr>
        <w:pStyle w:val="Heading1"/>
      </w:pPr>
      <w:r>
        <w:t>Note on Sources</w:t>
      </w:r>
    </w:p>
    <w:p>
      <w:r>
        <w:rPr>
          <w:b w:val="0"/>
          <w:i w:val="0"/>
        </w:rPr>
        <w:t>Built from five sources. Cohen's Pathways of the Pulp, 12th ed. Ch.15 "Microbiology of Endodontic Infections" (Siqueira &amp; Rôças) is the primary source for 2.3.1-2.3.3 — a modern, molecular-microbiology-era chapter whose named-species and quantified-diversity data materially update the outline's own, more dated bacterial list (which named only a handful of classic genera); both are presented here, with the modern data flagged as the update it is rather than silently substituted. Endodontic Microbiology, 2nd ed. (Fouad, ed.) is the primary source for 2.3.4/2.3.5, now built into this document with full page-level citation for the first time — this content previously existed only as an outline-level retrospective addition without a built .docx; the chapters used are Ch.6 (Extraradicular Infections), Ch.8 (Viruses), Ch.9 (Fungi), Ch.10 (Severe Head and Neck Infections), and Ch.12 (Systemic Antibiotics), and on this full read Ch.10 turned out to have substantially more real anatomic and clinical-management depth (named fascial spaces with real boundaries, real airway-management outcome data) than the outline's original one-line summary suggested, and Ch.12 turned out to have strong randomized-trial and Cochrane-review evidence directly relevant to 2.3.5 that the outline's original text did not yet reflect. Harty's Endodontics in Clinical Practice, 7th ed. Ch.2 contributes a real, named antibiotic/analgesic dosing table and current antimicrobial-stewardship framing for 2.3.5. The Glossary of Endodontic Terms, 8th ed. (AAE) supplies formal definitions. **Added on user request**: Fouad AF. "Endodontic Microbiology and Pathobiology: Current State of Knowledge." Dent Clin North Am 2017;61(1):1-15 — a Dental Clinics of North America review, found in the project's DCNA article collection, written by the same author/editor as this sub-module's primary Endodontic Microbiology textbook. Despite the shared authorship, it supplies genuinely new content not in the textbook: a detection-methodology comparison, real quantified outcome-prediction data, and an evidence-based update/correction to the symptom-microorganism-association question, added as a new subsection after 2.3.1.</w:t>
      </w:r>
    </w:p>
    <w:p>
      <w:r>
        <w:rPr>
          <w:b w:val="0"/>
          <w:i w:val="0"/>
        </w:rPr>
        <w:t>Citation convention: Cohen's uses the PDF-page fallback `[1, PDF p.X]`. Ingle's (referenced briefly for cross-check) would use marker+12; not separately cited in this file since Cohen's Ch.15 and Endodontic Microbiology together cover this sub-module's scope more directly. Endodontic Microbiology uses a newly-confirmed offset for this project: marker−9 = printed page (verified at multiple points spanning the book). Harty's uses its established offset (marker−16 = printed page). The Glossary uses marker direct. The Fouad DCNA article has real printed pagination (1-15) matching its PDF page count directly (offset 0, confirmed at two points) — cited as `[5, p.X]`.</w:t>
      </w:r>
    </w:p>
    <w:p>
      <w:pPr>
        <w:pStyle w:val="Heading2"/>
      </w:pPr>
      <w:r>
        <w:t>2.3 Microbiology of Endodontic Infections</w:t>
      </w:r>
    </w:p>
    <w:p>
      <w:pPr>
        <w:pStyle w:val="Heading2"/>
      </w:pPr>
      <w:r>
        <w:t>2.3.1 Microbial Population</w:t>
      </w:r>
    </w:p>
    <w:p>
      <w:r>
        <w:rPr>
          <w:b w:val="0"/>
          <w:i w:val="0"/>
        </w:rPr>
        <w:t>The idea that bacteria cause apical periodontitis is genuinely old, though it took two centuries to be properly established. Antony van Leeuwenhoek, the Dutch amateur microscope-builder, reported as early as the 17th century that the root canals of decayed teeth “were stuffed with a soft matter” that seemed to be alive — but the significance of this observation for disease causation went unrecognized at the time. It was not until 1894 that Willoughby Dayton Miller, an American dentist working in Robert Koch's own laboratory in Berlin, published the first systematic analysis of root-canal bacterial samples, finding cocci, bacilli, and spirilla (spirochetes) by microscopy, with spirochetes notably prevalent in abscessed cases specifically. Most of what Miller observed could not actually be CULTIVATED with the technology of his time — these were almost certainly anaerobic species, only successfully cultured 50 to 100 years later once anaerobic culture technique matured. This is a genuinely important historical point for understanding the modern picture too: it remains true today that a substantial fraction of the endodontic microbiota is still uncultivated by current technology, detectable only through molecular methods [1, PDF p.1927-1929].</w:t>
      </w:r>
    </w:p>
    <w:p>
      <w:r>
        <w:rPr>
          <w:b w:val="0"/>
          <w:i w:val="0"/>
        </w:rPr>
        <w:t>Apical periodontitis, in modern terms, is fundamentally an INFECTIOUS disease, and its progression and perpetuation depend on ongoing infection of the root canal system — chemical and physical factors can contribute to periradicular inflammation, but a large body of evidence establishes microbial infection as essential to the disease process continuing. Although fungi, archaea, and viruses have each been detected in association with endodontic infections (see 2.3.4), bacteria remain the dominant, best-characterized, and most clearly pathogenic microorganisms involved, and in advanced disease bacterial structures resembling true biofilms are commonly observed adhering to canal walls — placing apical periodontitis squarely among the recognized biofilm-related diseases [1, PDF p.1927-1928].</w:t>
      </w:r>
    </w:p>
    <w:p>
      <w:pPr>
        <w:pStyle w:val="Heading3"/>
      </w:pPr>
      <w:r>
        <w:t>Quantified Microbial Load and Diversity</w:t>
      </w:r>
    </w:p>
    <w:p>
      <w:r>
        <w:rPr>
          <w:b w:val="0"/>
          <w:i w:val="0"/>
        </w:rPr>
        <w:t>Real, molecular-era quantification has substantially sharpened what was once a qualitative picture. Primary infections (developing in the necrotic pulp of a previously untreated tooth) are characterized by a mixed, multispecies community conspicuously DOMINATED by obligate anaerobic bacteria. Bacterial cell counts per infected canal range from roughly 10^3 to 10^8. Second- to fourth-generation molecular studies (targeted PCR-based methods) have found a MEAN of 10 to 20 species/phylotypes per infected canal, though the newest, fifth-generation high-throughput sequencing (HTS) studies suggest even this may be an underestimate. Canals associated with a draining sinus tract tend to sit toward the top of this range [1, PDF p.1968].</w:t>
      </w:r>
    </w:p>
    <w:p>
      <w:r>
        <w:rPr>
          <w:b w:val="0"/>
          <w:i w:val="0"/>
        </w:rPr>
        <w:t>A genuinely striking, quantified, and clinically intuitive finding: lesion SIZE correlates directly with both bacterial species richness and cell density in the canal. One molecular study found small lesions (under 5mm) harbored about 12 taxa on average, lesions 5-10mm harbored about 16 taxa, and lesions over 10mm harbored about 20 species — with some large-lesion canals harboring more than 40 distinct taxa. The larger the periapical lesion, in other words, the more diverse and more heavily loaded the causative canal microbiota tends to be [1, PDF p.1968-1969].</w:t>
      </w:r>
    </w:p>
    <w:p>
      <w:r>
        <w:rPr>
          <w:b w:val="0"/>
          <w:i w:val="0"/>
        </w:rPr>
        <w:t>Roughly 40% to 66% of the bacterial taxa detected in primary infections remain, to this day, UNCULTIVATED by any current laboratory technique — identified only through molecular sequencing — and as-yet-uncultivated phylotypes can nonetheless be among the MOST PREVALENT organisms found, with some specifically associated with pain. This is a genuinely important epistemic point: a species' absence from older, culture-based textbook lists does not mean it is unimportant, only that it has not yet been grown in the laboratory [1, PDF p.1980].</w:t>
      </w:r>
    </w:p>
    <w:p>
      <w:pPr>
        <w:pStyle w:val="Heading3"/>
      </w:pPr>
      <w:r>
        <w:t>Predominant Organisms (Modern Molecular-Era Update)</w:t>
      </w:r>
    </w:p>
    <w:p>
      <w:r>
        <w:rPr>
          <w:b w:val="0"/>
          <w:i w:val="0"/>
        </w:rPr>
        <w:t>The outline's own classic named genera — Peptostreptococcus and Eubacterium among gram-positives, Porphyromonas and Prevotella among gram-negatives — remain broadly correct in spirit but reflect an older, culture-based taxonomy. Modern molecular studies (nested PCR, HTS) identify the most prevalent NAMED species in primary infections, including acute abscess cases, as spanning a substantially wider and more precisely characterized set of genera:</w:t>
      </w:r>
    </w:p>
    <w:p>
      <w:pPr>
        <w:pStyle w:val="ListBullet"/>
      </w:pPr>
      <w:r>
        <w:t>Gram-negative genera: Fusobacterium, Dialister, Porphyromonas, Prevotella, Tannerella, Treponema (spirochetes), Pyramidobacter, Campylobacter, Veillonella.</w:t>
      </w:r>
    </w:p>
    <w:p>
      <w:pPr>
        <w:pStyle w:val="ListBullet"/>
      </w:pPr>
      <w:r>
        <w:t>Gram-positive genera: Parvimonas, Filifactor, Pseudoramibacter, Streptococcus, Propionibacterium, Olsenella, Actinomyces.</w:t>
      </w:r>
    </w:p>
    <w:p>
      <w:r>
        <w:rPr>
          <w:b w:val="0"/>
          <w:i w:val="0"/>
        </w:rPr>
        <w:t>Species prevalence varies meaningfully by CLINICAL presentation, not just by “endodontic infection” as a single category — studies using taxon-specific nested PCR on asymptomatic apical periodontitis, symptomatic apical periodontitis, and acute apical abscess samples separately found real differences in which species dominate each presentation. Treponema denticola, for instance, was detected in MORE than 75% of acute apical abscess samples specifically (the single highest prevalence figure of any species in any of the three presentations), with Porphyromonas endodontalis, Dialister pneumosintes, Tannerella forsythia, and Porphyromonas gingivalis each detected in 50-75% of abscess cases. In asymptomatic apical periodontitis, by contrast, Dialister invisus and an as-yet-uncultivated Bacteroidetes clone (oral clone X083, now formally named Bacteroidaceae sp. HOT-272) were the most prevalent taxa, each found in over 75% of samples [1, PDF p.1970-1974].</w:t>
      </w:r>
    </w:p>
    <w:p>
      <w:pPr>
        <w:pStyle w:val="Heading3"/>
      </w:pPr>
      <w:r>
        <w:t>Bacterial Ecology of the Root Canal</w:t>
      </w:r>
    </w:p>
    <w:p>
      <w:r>
        <w:rPr>
          <w:b w:val="0"/>
          <w:i w:val="0"/>
        </w:rPr>
        <w:t>Species do not simply accumulate independently — the endodontic microbiota is a genuinely structured ecological community. “Early colonizers” or “pioneer species” are those bacteria already present in the advancing caries biofilm or saliva at the time of pulp exposure; they establish the initial infection and, critically, actively RESHAPE the canal environment (consuming available nutrients, altering oxygen tension) in ways that determine which “latecomer” species can subsequently establish themselves. Bacterial interactions within this community can be positive (nutritional food webs — one species' metabolic byproducts feeding another; one species lowering local oxygen tension to favor obligate anaerobes; coaggregation, a highly specific attachment of one species directly onto another via lectin-like receptor-adhesin binding, itself facilitating both colonization and metabolic cross-feeding) or negative (direct competition for nutrients/space; amensalism, where one species produces a substance — a bacteriocin — that actively inhibits another). As the community matures over time it becomes progressively more structurally and spatially organized — a true, ecologically dynamic biofilm rather than a static mixture [1, PDF p.1937-1938] [1, PDF p.1980-1981].</w:t>
      </w:r>
    </w:p>
    <w:p>
      <w:pPr>
        <w:pStyle w:val="Heading3"/>
      </w:pPr>
      <w:r>
        <w:t>Microbial Detection Methods and Clinical Outcome Prediction</w:t>
      </w:r>
    </w:p>
    <w:p>
      <w:r>
        <w:rPr>
          <w:b w:val="0"/>
          <w:i w:val="0"/>
        </w:rPr>
        <w:t>**Added on user request, from a Dental Clinics of North America review** (Fouad, 2017) found in the project's DCNA article collection — written by the same author/editor as this sub-module's primary Endodontic Microbiology textbook, and supplying real methodological and outcome-prediction detail not otherwise covered here. Three genuinely distinct detection methodologies are in use, each with a different purpose rather than one simply being an upgrade of another: CULTURING remains the only method that allows direct testing of antimicrobial susceptibility and study of a species' actual virulence in vitro, but only about half of oral bacterial species are cultivable at all, and some normally-cultivable species can be rendered falsely uncultivable by exposure to endodontic materials such as calcium hydroxide or antibiotics; IMAGING (including dark-field microscopy for fastidious organisms like spirochetes) gives accurate spatial information on microbial location, density, and biofilm structure but not taxonomic identity; and MOLECULAR methods (culminating in high-throughput/deep sequencing) give the highest sensitivity and the most accurate taxonomic classification, including of the roughly half of species culturing cannot recover, but cannot directly confirm virulence or antibiotic susceptibility on their own [5, p.2].</w:t>
      </w:r>
    </w:p>
    <w:p>
      <w:r>
        <w:rPr>
          <w:b w:val="0"/>
          <w:i w:val="0"/>
        </w:rPr>
        <w:t>On outcome prediction specifically: endodontic treatment prognosis for a tooth with a VITAL pulp is very high, but drops by a real, quantified 15% to 20% specifically in cases with a preoperative infection — direct numeric confirmation of why the primary/secondary/persistent distinction above is not just taxonomically tidy but clinically load-bearing. Most, though not universally all, studies have found that detectable residual bacteria AT THE TIME OF OBTURATION predicts a worse long-term outcome. One particularly well-controlled primate-model study went further and found that PERSISTENCE of those bacteria at FOLLOW-UP (rather than their mere presence at obturation) was an even STRONGER predictor of outcome — a genuinely important refinement, since it suggests that a canal which starts with residual bacteria but subsequently clears them still carries a meaningfully better prognosis than one where the same bacteria persist over time [5, p.3-4].</w:t>
      </w:r>
    </w:p>
    <w:p>
      <w:r>
        <w:rPr>
          <w:b w:val="0"/>
          <w:i w:val="0"/>
        </w:rPr>
        <w:t>A genuinely important evidence-based correction to a long-assumed clinical pattern: although older studies proposed that specific microorganisms (including systemic viral effects from human cytomegalovirus and Epstein-Barr virus) might predictably correlate with which patients develop SYMPTOMATIC disease, more recent next-generation-sequencing studies have found NO consistent species-level pattern of association with symptoms, and a recent systematic review specifically found no definitive association between these herpesviruses and symptoms — a real update to, and partial correction of, the herpesvirus pathogenic model already presented in 2.3.4, though that review did confirm these viruses remain significantly more associated with DISEASED periapical tissue than with normal pulp, so a genuine (if less symptom-specific) disease association still stands [5, p.4].</w:t>
      </w:r>
    </w:p>
    <w:p>
      <w:pPr>
        <w:pStyle w:val="Heading2"/>
      </w:pPr>
      <w:r>
        <w:t>2.3.2 Virulence Factors &amp; Pathogenesis</w:t>
      </w:r>
    </w:p>
    <w:p>
      <w:r>
        <w:rPr>
          <w:b w:val="0"/>
          <w:i w:val="0"/>
        </w:rPr>
        <w:t>Pathogenicity is the capacity of a microorganism to cause disease; virulence is the DEGREE of that pathogenicity. Most bacteria implicated in endodontic infection are not dedicated “primary pathogens” at all — they are normal, usually harmless commensal members of the resident oral microbiota that become OPPORTUNISTIC pathogens specifically once the balance between host and microbiota is disturbed (most commonly, once pulp necrosis removes local host defenses from the canal entirely) [1, PDF p.1936-1937].</w:t>
      </w:r>
    </w:p>
    <w:p>
      <w:r>
        <w:rPr>
          <w:b w:val="0"/>
          <w:i w:val="0"/>
        </w:rPr>
        <w:t>Bacterial virulence factors damage host tissue through two mechanistically distinct routes, and current evidence indicates the INDIRECT route is the more significant of the two in apical periodontitis specifically — worth stating explicitly rather than assuming direct toxicity dominates:</w:t>
      </w:r>
    </w:p>
    <w:p>
      <w:pPr>
        <w:pStyle w:val="ListBullet"/>
      </w:pPr>
      <w:r>
        <w:t>Direct damage — secreted bacterial products (enzymes, exotoxins, heat-shock proteins, metabolic end products) that directly harm host cells or the connective-tissue intercellular matrix.</w:t>
      </w:r>
    </w:p>
    <w:p>
      <w:pPr>
        <w:pStyle w:val="ListBullet"/>
      </w:pPr>
      <w:r>
        <w:t>Indirect damage — bacterial structural components (LPS, peptidoglycan, lipoteichoic acid, fimbriae, flagella, outer-membrane proteins/vesicles, lipoproteins, exopolysaccharides), collectively termed “modulins,” that act not by directly poisoning host tissue but by STIMULATING the host's own immune response into damaging levels of activity — for instance, driving release of the pro-inflammatory, bone-resorptive cytokines already established mechanistically in Sub-Module 2.2.2's RANKL/OPG discussion. Pus formation in an acute apical abscess is itself a real, named example of INDIRECT damage: it results from host neutrophils' own oxygen radicals and lysosomal enzymes destroying the connective-tissue matrix in response to bacteria, not from any bacterial product acting alone.</w:t>
      </w:r>
    </w:p>
    <w:p>
      <w:r>
        <w:rPr>
          <w:b w:val="0"/>
          <w:i w:val="0"/>
        </w:rPr>
        <w:t>[1, PDF p.1939-1940]</w:t>
      </w:r>
    </w:p>
    <w:p>
      <w:r>
        <w:rPr>
          <w:b w:val="0"/>
          <w:i w:val="0"/>
        </w:rPr>
        <w:t>Apical periodontitis is explicitly a MULTIFACTORIAL disease — essentially no single endodontic pathogen, on its own, is capable of producing the full range of events involved in disease pathogenesis. It requires an integrated, orchestrated interaction among multiple members of the mixed microbial community, each contributing its own virulence attributes. LPS specifically — exclusive to gram-negative bacteria — has been found at particularly high concentrations in canals associated with large and/or symptomatic apical periodontitis, directly linking this specific structural virulence factor to disease severity [1, PDF p.1940].</w:t>
      </w:r>
    </w:p>
    <w:p>
      <w:r>
        <w:rPr>
          <w:b/>
        </w:rPr>
        <w:t xml:space="preserve">DEFINITION — Biofilm: </w:t>
      </w:r>
      <w:r>
        <w:t>the colonization and proliferation of microorganisms at a surface and solution interface [4, p.7].</w:t>
      </w:r>
    </w:p>
    <w:p>
      <w:r>
        <w:rPr>
          <w:b w:val="0"/>
          <w:i w:val="0"/>
        </w:rPr>
        <w:t>Biofilm formation itself functions as a virulence strategy in its own right, not merely a structural curiosity: it confers real, demonstrated protection against host immune defenses, against competing microorganisms, and against antimicrobial agents, which is a central reason biofilm-organized infections are so much harder to eliminate than an equivalent number of free-floating (planktonic) bacterial cells would be.</w:t>
      </w:r>
    </w:p>
    <w:p>
      <w:r>
        <w:rPr>
          <w:b w:val="0"/>
          <w:i w:val="0"/>
        </w:rPr>
        <w:t>Beyond the classic outline-named virulence factors (LPS/endotoxin, proteases, collagenase, hyaluronidase, adhesins, metabolic byproducts such as short-chain fatty acids and ammonia), the mechanism above adds a genuinely important conceptual layer: many of these factors matter less for what they directly destroy and more for how they manipulate the host's OWN immune machinery into producing the tissue destruction actually observed clinically.</w:t>
      </w:r>
    </w:p>
    <w:p>
      <w:pPr>
        <w:pStyle w:val="Heading2"/>
      </w:pPr>
      <w:r>
        <w:t>2.3.3 Primary vs. Secondary vs. Persistent Infections</w:t>
      </w:r>
    </w:p>
    <w:p>
      <w:r>
        <w:rPr>
          <w:b w:val="0"/>
          <w:i w:val="0"/>
        </w:rPr>
        <w:t>Distinguishing these three categories matters clinically because they point to different failure mechanisms and different remedies, even though — as established below — they are often clinically indistinguishable at the chairside.</w:t>
      </w:r>
    </w:p>
    <w:p>
      <w:r>
        <w:rPr>
          <w:b/>
          <w:i w:val="0"/>
        </w:rPr>
        <w:t>Primary infection:</w:t>
      </w:r>
    </w:p>
    <w:p>
      <w:r>
        <w:rPr>
          <w:b w:val="0"/>
          <w:i w:val="0"/>
        </w:rPr>
        <w:t>Develops in the necrotic pulp tissue of a previously untreated tooth, and directly causes primary apical periodontitis. As established in 2.3.1, this is a genuinely diverse, anaerobe-dominated mixed community (a mean of 10-20 species/phylotypes per canal, higher by fifth-generation sequencing), susceptible in principle to conventional antimicrobial/mechanical endodontic therapy [1, PDF p.1968].</w:t>
      </w:r>
    </w:p>
    <w:p>
      <w:r>
        <w:rPr>
          <w:b/>
          <w:i w:val="0"/>
        </w:rPr>
        <w:t>Secondary infection:</w:t>
      </w:r>
    </w:p>
    <w:p>
      <w:r>
        <w:rPr>
          <w:b w:val="0"/>
          <w:i w:val="0"/>
        </w:rPr>
        <w:t>Caused by microorganisms that were NOT present in the canal originally, but entered secondary to CLINICAL INTERVENTION — during treatment itself, between appointments, or even after root canal filling. The species involved may or may not be typical oral flora, depending on the actual source of contamination [1, PDF p.1982-1983].</w:t>
      </w:r>
    </w:p>
    <w:p>
      <w:r>
        <w:rPr>
          <w:b/>
          <w:i w:val="0"/>
        </w:rPr>
        <w:t>Persistent infection:</w:t>
      </w:r>
    </w:p>
    <w:p>
      <w:r>
        <w:rPr>
          <w:b w:val="0"/>
          <w:i w:val="0"/>
        </w:rPr>
        <w:t>Caused specifically by microorganisms that SURVIVED intracanal antimicrobial procedures — in practice, usually remnants of the original primary infection that resisted treatment rather than newly introduced organisms [1, PDF p.1982].</w:t>
      </w:r>
    </w:p>
    <w:p>
      <w:r>
        <w:rPr>
          <w:b w:val="0"/>
          <w:i w:val="0"/>
        </w:rPr>
        <w:t>A genuinely important, easily overlooked clinical point: persistent and secondary infections are, for the MOST part, clinically indistinguishable from one another — the exceptions being cases where an infectious complication (an abscess) arises after treating a tooth that was NOT infected to begin with (necessarily secondary), or where apical periodontitis was genuinely absent at the time of treatment but appears on a later follow-up radiograph (also necessarily secondary). Both persistent and secondary infections can produce the same range of clinical problems: persistent exudation (a “wet” canal), persistent symptoms, interappointment flare-ups, and ultimately posttreatment apical periodontitis — treatment failure [1, PDF p.1983].</w:t>
      </w:r>
    </w:p>
    <w:p>
      <w:r>
        <w:rPr>
          <w:b w:val="0"/>
          <w:i w:val="0"/>
        </w:rPr>
        <w:t>The evidence that persistent/secondary intraradicular infection is the MAJOR cause of posttreatment apical periodontitis (as opposed to extraradicular infection or non-microbial causes, both of which have comparatively weak supporting evidence) rests on two strong, independent lines of evidence: first, documented increased risk of an adverse treatment outcome specifically when bacteria are detectably present in the canal AT THE TIME OF OBTURATION; second, that virtually every root-canal-treated tooth showing persistent apical periodontitis has been shown, on direct sampling, to harbor an ongoing intraradicular infection [1, PDF p.1983-1984].</w:t>
      </w:r>
    </w:p>
    <w:p>
      <w:r>
        <w:rPr>
          <w:b w:val="0"/>
          <w:i w:val="0"/>
        </w:rPr>
        <w:t>When bacteria ARE recovered from a canal at the obturation stage, the pattern is genuinely distinctive rather than a simple reduced copy of the primary infection: diversity and density are both substantially reduced (typically 1-5 species, 10^2 to 10^5 cells per sample, versus the far larger primary-infection figures above), and the SURVIVING species skew heavily toward GRAM-POSITIVE organisms — streptococci, Parvimonas micra, Propionibacterium species, Pseudoramibacter alactolyticus, Actinomyces species, lactobacilli, Enterococcus faecalis, and Olsenella uli are all commonly recovered post-treatment, while the gram-negative species that dominate primary infections are usually successfully eliminated (F. nucleatum and some Prevotella species being the notable exceptions). This consistent gram-positive skew supports the interpretation that gram-positive organisms are, as a group, genuinely more resistant to standard antimicrobial treatment measures and better adapted to survive the harsh, nutrient-depleted post-instrumentation canal environment [1, PDF p.1985].</w:t>
      </w:r>
    </w:p>
    <w:p>
      <w:r>
        <w:rPr>
          <w:b w:val="0"/>
          <w:i w:val="0"/>
        </w:rPr>
        <w:t>Critically, surviving bacteria do not automatically doom a case to failure — some canals with positive bacterial cultures at obturation have nonetheless gone on to heal successfully. Proposed explanations include: residual bacteria dying from the filling material's own toxicity, denial of access to nutrients, or disruption of the bacterial ecology by obturation itself; residual bacteria present in numbers or virulence too low to sustain periradicular inflammation; or residual bacteria confined to canal locations with no access to the periradicular tissues at all. Conversely, for surviving bacteria to actually INFLUENCE outcome, they generally need to withstand starvation (including entering a viable-but-noncultivable, VBNC, dormant state and reactivating later), survive the ecological disruption treatment itself causes (quorum-sensing disruption, food-web disruption, biofilm-structure disorganization), reach a critical population density, and have genuine access to the periradicular tissues [1, PDF p.1985-1986].</w:t>
      </w:r>
    </w:p>
    <w:p>
      <w:pPr>
        <w:pStyle w:val="Heading2"/>
      </w:pPr>
      <w:r>
        <w:t>2.3.4 Extraradicular, Viral, and Fungal Endodontic Infections</w:t>
      </w:r>
    </w:p>
    <w:p>
      <w:r>
        <w:rPr>
          <w:b w:val="0"/>
          <w:i/>
        </w:rPr>
        <w:t>This section covers categories of endodontic infection that fall genuinely outside the standard intraradicular-bacterial picture covered above — a real, corroborated gap identified in the completeness audit that preceded this build, and confirmed with the user before adding to the outline.</w:t>
      </w:r>
    </w:p>
    <w:p>
      <w:pPr>
        <w:pStyle w:val="Heading3"/>
      </w:pPr>
      <w:r>
        <w:t>Extraradicular Infections</w:t>
      </w:r>
    </w:p>
    <w:p>
      <w:r>
        <w:rPr>
          <w:b w:val="0"/>
          <w:i w:val="0"/>
        </w:rPr>
        <w:t>An extraradicular infection is bacteria established WITHIN the periapical tissues THEMSELVES, beyond the root canal system proper — genuinely capable, in some cases, of persisting even after otherwise technically adequate root canal treatment, since orthograde instrumentation and irrigation cannot reach bacteria that have already left the canal. Actinomyces and Propionibacterium (Cutibacterium) are the classically implicated genera in refractory, biofilm-based extraradicular disease specifically, forming cohesive colonies capable of persisting independent of any remaining intraradicular infection — this is the clinically important INDEPENDENT extraradicular infection scenario already introduced in Sub-Module 2.2.2's healing-factors discussion, and the genuine indication for SURGICAL (rather than further orthograde) intervention (cross-reference Sub-Module 5.1).</w:t>
      </w:r>
    </w:p>
    <w:p>
      <w:pPr>
        <w:pStyle w:val="Heading3"/>
      </w:pPr>
      <w:r>
        <w:t>Viruses in Endodontic Pathosis</w:t>
      </w:r>
    </w:p>
    <w:p>
      <w:r>
        <w:rPr>
          <w:b w:val="0"/>
          <w:i w:val="0"/>
        </w:rPr>
        <w:t>Herpesviruses — human cytomegalovirus (HCMV), Epstein-Barr virus (EBV), herpes simplex virus (HSV) — have been proposed as possible COFACTORS in some cases of symptomatic apical periodontitis, though this remains an evolving, genuinely unsettled area of evidence rather than an established causative mechanism. A specific pathogenic MODEL has been proposed (not proven) to explain how latent herpesvirus infection could plausibly contribute: HCMV is proposed to persist latently within periodontal macrophages, and EBV within periodontal B lymphocytes, in previously infected individuals. Reactivation from this latent state — triggered spontaneously or during periods of impaired host immune response — is proposed to produce local immunosuppression at the periapical site, in turn permitting overgrowth of gram-negative anaerobic bacteria and other pathogenic species, which then drives the familiar cytokine/matrix-metalloproteinase-mediated cascade of cytotoxicity, inflammation, bone resorption, and collagen degradation already established mechanistically in Sub-Module 2.2.2 [2, PDF p.178] [2, PDF p.188-189].</w:t>
      </w:r>
    </w:p>
    <w:p>
      <w:pPr>
        <w:pStyle w:val="Heading3"/>
      </w:pPr>
      <w:r>
        <w:t>Fungi in Endodontic Infections</w:t>
      </w:r>
    </w:p>
    <w:p>
      <w:r>
        <w:rPr>
          <w:b w:val="0"/>
          <w:i w:val="0"/>
        </w:rPr>
        <w:t>Fungi are genuinely RARE in primary (previously untreated) endodontic infections — older culture-based studies without a selective growth medium found yeasts in only about 0.5-10% of samples, though re-analysis using a SELECTIVE medium (Sabouraud's agar/broth, rather than nonselective blood agar) raised the detected range substantially, to roughly 1.9-61.5% depending on the study — a real, quantified illustration that detection methodology, not just true biological prevalence, materially shapes what gets reported. Candida species, especially C. albicans, dominate when yeasts ARE found, though other species (Saccharomyces cerevisiae, Candida tropicalis, Candida sake, Rhodotorula mucilaginosa) have also been recovered [2, PDF p.207-208].</w:t>
      </w:r>
    </w:p>
    <w:p>
      <w:r>
        <w:rPr>
          <w:b w:val="0"/>
          <w:i w:val="0"/>
        </w:rPr>
        <w:t>Fungal prevalence rises meaningfully across the SAME primary→secondary→persistent infection framework established in 2.3.3 above — a direct, genuinely useful cross-reference rather than a separate, unrelated fact. In one study, initial (primary) yeast prevalence of 1.9% rose to 6.8% by the second/third visit, with cases showing positive yeast culture specifically associated with defective temporary restorations or long gaps (3-4 months) between visits; another study found initial prevalence as high as 26%, with an antibacterial-only intermediate dressing (chloramphenicol) apparently favoring SECONDARY yeast overgrowth by removing bacterial competition. In frankly PERSISTENT (treatment-failure) infections, reported yeast incidence ranges 2.9-22.2% (again rising with selective-medium detection, to 6.8-18%) — confirming that fungi, while rare as an INITIATING cause, are a real, quantified contributor to some treatment-resistant cases [2, PDF p.210]. Fungi are, correspondingly, more frequently detected in canals of teeth with posttreatment disease than in untreated primary infections generally — and remain, overall, PREDOMINANTLY associated with immunocompromise or as a secondary/opportunistic finding in an already-persistent infection (cross-reference Sub-Module 3.5's immunocompromised-patient content) rather than as a typical initiating pathogen.</w:t>
      </w:r>
    </w:p>
    <w:p>
      <w:pPr>
        <w:pStyle w:val="Heading3"/>
      </w:pPr>
      <w:r>
        <w:t>Severe Head and Neck Infections of Endodontic Origin</w:t>
      </w:r>
    </w:p>
    <w:p>
      <w:r>
        <w:rPr>
          <w:b w:val="0"/>
          <w:i w:val="0"/>
        </w:rPr>
        <w:t>Odontogenic infection remains a genuinely serious, occasionally life-threatening emergency, not merely a historical concern — as recently as the early 20th century, dental infection was among the leading causes of death, before the clinical introduction of penicillin in 1940 [2, PDF p.229].</w:t>
      </w:r>
    </w:p>
    <w:p>
      <w:r>
        <w:rPr>
          <w:b w:val="0"/>
          <w:i w:val="0"/>
        </w:rPr>
        <w:t>Spread beyond the immediate periapical region follows real, named fascial-plane anatomy, and recognizing which named space is involved is directly diagnostically and therapeutically useful, not an abstract anatomy exercise:</w:t>
      </w:r>
    </w:p>
    <w:p>
      <w:pPr>
        <w:pStyle w:val="ListBullet"/>
      </w:pPr>
      <w:r>
        <w:t>Submandibular, sublingual, and submental spaces — bounded variously by the mylohyoid muscle, digastric muscles, and platysma. BILATERAL infection of all three together is, by definition, Ludwig's angina — first described by von Ludwig in 1836 (the term “angina” itself meaning “to constrict”) — a rapidly progressive, potentially airway-threatening cellulitis, not a localized abscess.</w:t>
      </w:r>
    </w:p>
    <w:p>
      <w:pPr>
        <w:pStyle w:val="ListBullet"/>
      </w:pPr>
      <w:r>
        <w:t>Buccal space — can allow infection to track further into the submandibular and masticator spaces.</w:t>
      </w:r>
    </w:p>
    <w:p>
      <w:pPr>
        <w:pStyle w:val="ListBullet"/>
      </w:pPr>
      <w:r>
        <w:t>Lateral pharyngeal space — a pyramid-shaped space containing the carotid artery, jugular vein, and cranial nerves IX-XII; it communicates posteriorly with the retropharyngeal space, which in turn runs down to the C6-T4 vertebral level. If purulent infection perforates the alar fascia here, it enters the prevertebral (“danger”) space and can track the entire length of the spinal column toward the mediastinum — the specific anatomic basis for descending necrotizing mediastinitis as a feared complication of an untreated deep neck space infection.</w:t>
      </w:r>
    </w:p>
    <w:p>
      <w:pPr>
        <w:pStyle w:val="ListBullet"/>
      </w:pPr>
      <w:r>
        <w:t>Masticator space — formed by the insertions of the muscles of mastication; involvement here produces the severe trismus that itself complicates both examination and airway management.</w:t>
      </w:r>
    </w:p>
    <w:p>
      <w:r>
        <w:rPr>
          <w:b w:val="0"/>
          <w:i w:val="0"/>
        </w:rPr>
        <w:t>[2, PDF p.230-236]</w:t>
      </w:r>
    </w:p>
    <w:p>
      <w:r>
        <w:rPr>
          <w:b w:val="0"/>
          <w:i w:val="0"/>
        </w:rPr>
        <w:t>Airway compromise is the immediate, non-negotiable recognition/referral threshold, and its management is itself genuinely difficult in these cases — generalized fascial-space edema (tongue, pharynx, larynx) combined with severe trismus frequently makes standard oral endotracheal intubation unsafe, since inappropriate laryngoscope manipulation risks rupturing a retropharyngeal or peritonsillar pus collection, with aspiration of purulent material and resulting pulmonary or mediastinal complications. In practice, severe cases require either awake fiberoptic intubation or a surgical airway (tracheotomy) rather than conventional intubation — in one published series, otolaryngologists more often chose tracheotomy while oral/maxillofacial surgeons more often preferred fiberoptic intubation, and in a separate series of 26 patients with deep neck infection (17 with Ludwig's angina specifically) undergoing awake fiberoptic intubation, 25 of 26 attempts succeeded, with five patients still requiring tracheotomy afterward [2, PDF p.249-251].</w:t>
      </w:r>
    </w:p>
    <w:p>
      <w:r>
        <w:rPr>
          <w:b w:val="0"/>
          <w:i w:val="0"/>
        </w:rPr>
        <w:t>The direct clinical implication: any sign of airway compromise, trismus severe enough to prevent adequate examination, or systemic toxicity in a patient with a suspected odontogenic infection is an immediate indication for referral to oral/maxillofacial surgery or emergency medicine, not for continued outpatient endodontic management.</w:t>
      </w:r>
    </w:p>
    <w:p>
      <w:pPr>
        <w:pStyle w:val="Heading2"/>
      </w:pPr>
      <w:r>
        <w:t>2.3.5 Antibiotic Use in Endodontic Infections</w:t>
      </w:r>
    </w:p>
    <w:p>
      <w:r>
        <w:rPr>
          <w:b w:val="0"/>
          <w:i w:val="0"/>
        </w:rPr>
        <w:t>Systemic antibiotics play a genuinely more LIMITED role in endodontic infection management than intuition might suggest, and the evidence base for this is now strong rather than merely traditional teaching.</w:t>
      </w:r>
    </w:p>
    <w:p>
      <w:r>
        <w:rPr>
          <w:b w:val="0"/>
          <w:i w:val="0"/>
        </w:rPr>
        <w:t>A real pharmacokinetic constraint underlies much of this limitation: systemically administered antibiotics CAN diffuse into a still-vital pulp and its surrounding periradicular tissue, but they CANNOT diffuse into the root canal space of a NECROTIC pulp — and diffusion into an established abscess or fascial-space infection is similarly poor, since these areas are inadequately vascularized. This is the direct biological basis for the field's central principle: a localized, drainable endodontic infection is managed by DRAINAGE (pulpectomy, or incision and drainage) FIRST — systemic antibiotics are an adjunct to definitive local treatment, not a substitute for it, because they physically cannot reach the primary bacterial reservoir on their own [2, PDF p.276].</w:t>
      </w:r>
    </w:p>
    <w:p>
      <w:r>
        <w:rPr>
          <w:b w:val="0"/>
          <w:i w:val="0"/>
        </w:rPr>
        <w:t>Randomized controlled trial evidence directly supports this limited role, and is worth citing specifically rather than asserted generally: in symptomatic irreversible pulpitis, administering penicillin alone produced no improvement over placebo. Preoperative penicillin or amoxicillin, given alongside ADEQUATE root canal instrumentation, did not differ from placebo in preventing postoperative flare-ups in patients with pulp necrosis and asymptomatic apical periodontitis. In symptomatic apical periodontitis or a localized acute apical abscess, penicillin did not differ from placebo in resolving postoperative pain or swelling, PROVIDED adequate instrumentation and incision-and-drainage had already been performed. These findings have been confirmed across multiple systematic reviews and two separate Cochrane reviews. One study did find erythromycin reduced postoperative pain, but erythromycin's substantial side-effect profile means it is not commonly used in dentistry regardless [2, PDF p.276].</w:t>
      </w:r>
    </w:p>
    <w:p>
      <w:r>
        <w:rPr>
          <w:b w:val="0"/>
          <w:i w:val="0"/>
        </w:rPr>
        <w:t>A genuinely important caveat on this evidence, worth stating rather than over-generalizing: every one of these supporting studies specifically involved patients in whom the actual SOURCE of infection (the necrotic pulp space, or a localized swelling) was adequately debrided and drained as part of the study protocol, and most patients studied were systemically healthy. Observational data show that patients placed on antibiotics experience flare-ups at rates similar to or even HIGHER than patients not given antibiotics — flare-up rate is understood to depend mainly on preoperative pain level, not on antibiotic coverage. This evidence base does NOT directly address situations where adequate local treatment genuinely cannot be achieved (case complexity, limited time/resources), or where the patient has a systemic condition suppressing immune response or predisposing to secondary infection — no RCT evidence currently guides antibiotic decisions specifically in those situations, and clinical judgment remains necessary [2, PDF p.276].</w:t>
      </w:r>
    </w:p>
    <w:p>
      <w:r>
        <w:rPr>
          <w:b w:val="0"/>
          <w:i w:val="0"/>
        </w:rPr>
        <w:t>Genuine indications for systemic antibiotics, consistent with this evidence base, are signs of SYSTEMIC spread — fever, malaise, lymphadenopathy — a spreading cellulitis, or a compromised host, NOT routine use for a localized apical periodontitis/abscess where adequate drainage has been achieved [3, p.18].</w:t>
      </w:r>
    </w:p>
    <w:p>
      <w:r>
        <w:rPr>
          <w:b w:val="0"/>
          <w:i w:val="0"/>
        </w:rPr>
        <w:t>Real antibiotic-stewardship concern is now an explicit, named part of the field's own literature: documented over-prescription specifically within endodontics contributes to the broader problem of antimicrobial resistance, and current UK guidance (via Public Health England's “Antibiotic Guardian” campaign, alongside PHE/NICE antimicrobial-stewardship guidelines) explicitly frames responsible antibiotic use, including in dentistry, as a public-health priority, not merely a matter of individual clinical judgment [3, p.18].</w:t>
      </w:r>
    </w:p>
    <w:p>
      <w:r>
        <w:rPr>
          <w:b w:val="0"/>
          <w:i w:val="0"/>
        </w:rPr>
        <w:t>First-line agent selection and regimen, per Harty's own reference table, includes phenoxymethylpenicillin (250mg, one to two capsules every 6 hours, at least 30 minutes before food, for 4-7 days), amoxicillin (250mg, one to two capsules every 8 hours for 4-7 days), amoxicillin/clavulanate (“Augmentin,” 375mg, one to two capsules every 8 hours for 4-7 days), and metronidazole (200mg, one to two tablets every 8 hours for 3-5 days) — the last of these particularly valuable for its anaerobic coverage, given the strongly anaerobe-dominated microbiology established in 2.3.1. For the penicillin-allergic patient, metronidazole (a structurally unrelated agent with no cross-reactivity) is the standard alternative [3, p.18].</w:t>
      </w:r>
    </w:p>
    <w:p>
      <w:pPr>
        <w:pStyle w:val="Heading1"/>
      </w:pPr>
      <w:r>
        <w:t>References</w:t>
      </w:r>
    </w:p>
    <w:p>
      <w:r>
        <w:t>1. Berman LH, Hargreaves KM, eds. Cohen's Pathways of the Pulp. 12th ed. St. Louis: Elsevier; 2020.</w:t>
      </w:r>
    </w:p>
    <w:p>
      <w:r>
        <w:t>2. Fouad AF, ed. Endodontic Microbiology. 2nd ed. Ames, IA: Wiley-Blackwell; 2017.</w:t>
      </w:r>
    </w:p>
    <w:p>
      <w:r>
        <w:t>3. Berman LH, ed. Harty's Endodontics in Clinical Practice. 7th ed. Edinburgh: Elsevier; 2020.</w:t>
      </w:r>
    </w:p>
    <w:p>
      <w:r>
        <w:t>4. American Association of Endodontists. Glossary of Endodontic Terms. 8th ed. Chicago: AAE; 2012.</w:t>
      </w:r>
    </w:p>
    <w:p>
      <w:r>
        <w:t>5. Fouad AF. Endodontic Microbiology and Pathobiology: Current State of Knowledge. Dent Clin North Am 2017;61(1):1-15.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