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3.4: Treatment Planning</w:t>
      </w:r>
    </w:p>
    <w:p>
      <w:r>
        <w:rPr>
          <w:b/>
          <w:i w:val="0"/>
        </w:rPr>
        <w:t>Module 2 — Endodontics, Sub-Module 3: Endodontic Diagnosis &amp; Examination</w:t>
      </w:r>
    </w:p>
    <w:p>
      <w:pPr>
        <w:pStyle w:val="Heading1"/>
      </w:pPr>
      <w:r>
        <w:t>Note on Sources</w:t>
      </w:r>
    </w:p>
    <w:p>
      <w:r>
        <w:rPr>
          <w:b w:val="0"/>
          <w:i w:val="0"/>
        </w:rPr>
        <w:t>Built from six sources. Cohen's Pathways of the Pulp, 12th ed., Ch.5 "Case Assessment and Treatment Planning" (Rosenberg, Malek) is the primary source and substantially deepens the outline's brief treatment-options framing with real, quantified evidence-based prognosis data. Ingle's Endodontics, 7th ed., Ch.11 "Treatment Planning and Case Selection" shares much of the same underlying content (both chapters draw on an overlapping evidence base) but adds real follow-up protocol guidance (European Society of Endodontology) and a specific quantified single- versus multiple-visit healing-rate comparison not in Cohen's. Grossman's Endodontic Practice, 14th ed., Ch.8 "Selection of Cases for Treatment" supplies the AAE Endodontic Case Difficulty Assessment Form detail for 3.4.3, already identified as a genuine outline gap in an earlier completeness audit. Hülsmann &amp; Schäfer's Problems in Endodontics, Ch.3 "Problems in treatment planning," was checked directly but found to add nothing beyond what Cohen's/Ingle's/Grossman's already cover for this specific section — noted transparently rather than cited for the sake of using it. **Added on user request**: two Dental Clinics of North America reviews found in the project's DCNA article collection — Falcon, Agnihotri, Gogia &amp; Guruswamy Pandian (2024) on systemic factors, and Kalladka, Markman, Raman &amp; Mansdorf (2024) on psychological factors — both genuinely extend the prognosis discussion beyond the tooth-level factors in 3.4.1/3.4.2 into patient-level systemic and psychological variables, added as a new 3.4.4. **Added on user request in a later pass**: Chugal, Mallya, Kahler &amp; Lin's 2017 DCNA review "Endodontic Treatment Outcomes" fills a genuine gap the outline never addressed at all — HOW treatment success or failure is actually defined and measured. The prior treatment-planning content in 3.4.1/3.4.2 discusses prognosis and outcome numbers freely but never establishes the underlying criteria (Strindberg criteria, the Periapical Index, and the modern AAE classification) that those cited outcome studies actually used — added as a new 3.4.5.</w:t>
      </w:r>
    </w:p>
    <w:p>
      <w:r>
        <w:rPr>
          <w:b w:val="0"/>
          <w:i w:val="0"/>
        </w:rPr>
        <w:t>Citation convention: Cohen's uses the PDF-page fallback `[1, PDF p.X]`. Ingle's Ch.11 offset was verified locally at two points (marker 325→printed 361; marker 326→printed 362, from the chapter's own running header) and confirmed as marker+36 = printed page for this chapter — cited as `[2, p.X]`. Grossman's uses its confirmed offset (marker−25 = printed page) — cited as `[3, p.X]`. The Falcon et al. DCNA article has real printed pagination (813-826) confirmed as PDF page+812 = printed page — cited as `[4, p.X]`. The Kalladka et al. DCNA article has real printed pagination (739-750) confirmed as PDF page+738 = printed page — cited as `[5, p.X]`. The Chugal et al. DCNA article has real printed pagination (59-80) confirmed as PDF page+58 = printed page (verified at two points: marker 1→printed 59 from the article's own header block, marker 2→printed 60 from the running footer) — cited as `[6, p.X]`.</w:t>
      </w:r>
    </w:p>
    <w:p>
      <w:pPr>
        <w:pStyle w:val="Heading2"/>
      </w:pPr>
      <w:r>
        <w:t>3.4 Treatment Planning</w:t>
      </w:r>
    </w:p>
    <w:p>
      <w:pPr>
        <w:pStyle w:val="Heading3"/>
      </w:pPr>
      <w:r>
        <w:t>3.4.1 Treatment Options by Diagnosis</w:t>
      </w:r>
    </w:p>
    <w:p>
      <w:r>
        <w:rPr>
          <w:b w:val="0"/>
          <w:i w:val="0"/>
        </w:rPr>
        <w:t>Treatment planning begins only after diagnosis is complete, and the central decision is not merely which endodontic procedure to perform but whether the tooth's long-term strategic value justifies treatment at all — a poor decision here can endanger an entire restorative plan if a tooth with a genuinely questionable endodontic prognosis is included in it [1, PDF p.592]. Modern endodontics offers a wider menu of options than the traditional treat-or-extract binary: alongside conventional nonsurgical and surgical root canal treatment, vital pulp therapy, regenerative procedures for select immature teeth, and intentional replantation are all now supported by increasing evidence, and even a tooth that fails an initial nonsurgical or surgical procedure remains a genuine retreatment candidate rather than an automatic extraction [1, PDF p.592]. Referral to a specialist should be considered whenever procedural complexity — restorative factors, unusual canal anatomy, or chamber/canal calcification — exceeds the treating clinician's own comfort level, since periodontal status, restorative status, and the patient's systemic health all independently affect prognosis alongside the endodontic factors themselves [1, PDF p.593].</w:t>
      </w:r>
    </w:p>
    <w:p>
      <w:r>
        <w:rPr>
          <w:b w:val="0"/>
          <w:i w:val="0"/>
        </w:rPr>
        <w:t>Endodontic prognosis itself is not a matter of clinical impression alone — systematic reviews cited in Cohen's give it real quantified structure. The single strongest preoperative predictor is the absence of a periapical radiolucency, which significantly improves the outcome of root canal treatment; by contrast, pulp vitality status itself does NOT independently affect prognosis as long as the periapex is healthy — a genuinely counterintuitive finding worth flagging explicitly, since it is easy to assume a vital pulp case is inherently the better prognosis. Lesion size, the presence of a sinus tract, a narrow but deep periodontal probing defect, and preoperative pain have all been shown to significantly affect nonsurgical treatment outcome — and preoperative pain specifically is one of the strongest predictors of both postoperative pain and long-term tooth survival, not merely a transient discomfort variable [1, PDF p.593].</w:t>
      </w:r>
    </w:p>
    <w:p>
      <w:r>
        <w:rPr>
          <w:b w:val="0"/>
          <w:i w:val="0"/>
        </w:rPr>
        <w:t>Retreatment prognosis is popularly believed to be worse than primary treatment, but this is not universally supported by the evidence: one systematic review found retreatment outcomes comparable to primary treatment as long as access to the apical infection could be reestablished, though postoperative pain and flare-up incidence do appear to run higher in retreatment cases specifically [1, PDF p.593]. Before committing to retreatment, Cohen's frames the decision around a specific, practical checklist: why did the original treatment fail; can the point of bacterial entry be identified; are prior radiographs available; is there a correctable, identifiable procedural problem; is the canal system accessible for reentry; are there additional contributing factors such as a significant periodontal defect or immunosuppression; is the tooth actually critical to the overall treatment plan; and does the patient understand the prognosis and wish to proceed — with the patient's informed choice explicitly documented in the record [1, PDF p.594]. Ingle's follow-up guidance adds a concrete monitoring protocol once treatment (or retreatment) is complete: the European Society of Endodontology recommends the first postoperative follow-up radiograph at 1 year, with a lesion that is only partially resolved at that point categorized as "questionable" and followed for up to 4 years before a final success/failure determination, and the treatment plan revisited if symptoms develop or the lesion enlarges during that window [2, p.361].</w:t>
      </w:r>
    </w:p>
    <w:p>
      <w:pPr>
        <w:pStyle w:val="Heading3"/>
      </w:pPr>
      <w:r>
        <w:t>3.4.2 Restorative Prognosis Assessment</w:t>
      </w:r>
    </w:p>
    <w:p>
      <w:r>
        <w:rPr>
          <w:b w:val="0"/>
          <w:i w:val="0"/>
        </w:rPr>
        <w:t>A satisfactory final restoration can be jeopardized by factors that are often only recognized well after endodontic treatment has begun — subosseous root caries potentially requiring crown lengthening, a poor crown-to-root ratio, extensive periodontal defects, or tooth misalignment — which is precisely why these restorative factors should be assessed and a restorative plan put in place BEFORE endodontic treatment starts for any case of meaningful complexity, not worked out afterward [1, PDF p.610]. A systematic review on tooth survival after nonsurgical root canal treatment identified four restorative/anatomic factors of real significance: whether the tooth received a crown restoration after treatment, whether it retains both mesial and distal proximal contacts, whether it functions as an abutment for a removable or fixed prosthesis, and whether it is a molar versus a nonmolar tooth [1, PDF p.611]. A separate systematic review adds an important nuance to the intuitive "better root canal + better crown = better outcome" assumption: the odds of periapical healing increase with BOTH adequate root canal treatment and adequate restorative treatment together, but there was no significant difference in healing odds between the two mismatched combinations — adequate root filling with an inadequate coronal restoration versus inadequate root filling with an adequate coronal restoration — meaning coronal restoration quality is genuinely as important to outcome as root canal treatment quality itself, not merely a secondary concern layered on afterward [1, PDF p.611].</w:t>
      </w:r>
    </w:p>
    <w:p>
      <w:r>
        <w:rPr>
          <w:b w:val="0"/>
          <w:i w:val="0"/>
        </w:rPr>
        <w:t>Where a tooth's prognosis is genuinely questionable, the endodontics-versus-implant decision is now evidence-informed rather than purely a matter of clinical preference, though Cohen's is explicit that outcome studies for the two options cannot be directly compared because of differing research methodologies, follow-up periods, and success criteria. The real published numbers nonetheless give a sense of scale: one study of 510 teeth followed 4-6 years found 86% radiographic healing and 95% remaining asymptomatic and functional after initial endodontic therapy; a much larger study of nearly 1.46 million teeth found over 97% retention at 8 years; and a study of 1312 general-practice patients (mean follow-up 3.9 years, using dental-insurance-claims data) found a combined failure rate of 19.1% — notably higher than prior specialist-setting estimates, a real and clinically relevant gap between specialist-reported and general-practice outcomes. For single-tooth implants, a review of over 1400 implants across 10 studies found survival rates of 94.4-99% (mean 96.7%), and a separate systematic review with mean follow-up of 13.4 years found a 94.6% survival rate. With both options showing high survival in well-planned cases, Cohen's conclusion is that the choice must weigh the full multiplicity of patient-specific factors rather than defaulting to either option on survival-rate numbers alone [1, PDF p.611-612].</w:t>
      </w:r>
    </w:p>
    <w:p>
      <w:pPr>
        <w:pStyle w:val="Heading3"/>
      </w:pPr>
      <w:r>
        <w:t>3.4.3 Case Difficulty Assessment</w:t>
      </w:r>
    </w:p>
    <w:p>
      <w:r>
        <w:rPr>
          <w:b w:val="0"/>
          <w:i w:val="0"/>
        </w:rPr>
        <w:t>Grossman's gives treatment-complexity assessment a real, structured clinical tool that the outline's own treatment-planning content lacked entirely before this completeness audit: the AAE Endodontic Case Difficulty Assessment Form, developed to make case selection more efficient, more consistent, and easier to document, and originally designed for use in endodontic curricula [3, p.148]. The form organizes risk factors into three categories:</w:t>
      </w:r>
    </w:p>
    <w:p>
      <w:pPr>
        <w:pStyle w:val="ListBullet"/>
      </w:pPr>
      <w:r>
        <w:t>Patient considerations — medical history, anesthesia, patient disposition, mouth opening, gag reflex, and emergency condition.</w:t>
      </w:r>
    </w:p>
    <w:p>
      <w:pPr>
        <w:pStyle w:val="ListBullet"/>
      </w:pPr>
      <w:r>
        <w:t>Diagnostic and treatment considerations — diagnosis, radiographic difficulties, tooth position in the arch, tooth isolation, morphologic aberrations of the crown, canal and root morphology, radiographic appearance of the canal(s), and resorption.</w:t>
      </w:r>
    </w:p>
    <w:p>
      <w:pPr>
        <w:pStyle w:val="ListBullet"/>
      </w:pPr>
      <w:r>
        <w:t>Additional considerations — history of trauma, history of prior endodontic treatment, and periodontal-endodontic condition [3, p.148].</w:t>
      </w:r>
    </w:p>
    <w:p>
      <w:r>
        <w:rPr>
          <w:b w:val="0"/>
          <w:i w:val="0"/>
        </w:rPr>
        <w:t>Within each category, cases are scored across three levels of difficulty — Minimal Difficulty (routine, uncomplicated presentation, predictable outcome attainable by a competent practitioner with limited experience), Moderate Difficulty, and a highest tier reserved for cases with multiple compounding risk factors — with the explicit framing that these listed conditions are potential risk factors that MAY complicate treatment and adversely affect outcome, not certainties, and that the form's real practical value is helping a practitioner decide objectively whether a given case fits their own experience and comfort level or genuinely warrants referral [3, p.149-150]. Used consistently, the form also creates a documented record supporting the referral decision and the informed-consent conversation, which directly reinforces the retreatment-checklist principle from 3.4.1 that the patient's understanding of prognosis and treatment complexity should be explicitly recorded, not merely assumed.</w:t>
      </w:r>
    </w:p>
    <w:p>
      <w:pPr>
        <w:pStyle w:val="Heading3"/>
      </w:pPr>
      <w:r>
        <w:t>3.4.4 Systemic and Psychological Factors Affecting Prognosis</w:t>
      </w:r>
    </w:p>
    <w:p>
      <w:r>
        <w:rPr>
          <w:b w:val="0"/>
          <w:i w:val="0"/>
        </w:rPr>
        <w:t>**Added on user request**, from two Dental Clinics of North America reviews found in the project's DCNA article collection — both genuinely extend the prognosis discussion in 3.4.1/3.4.2 beyond the local, tooth-level factors already covered there, into patient-level systemic and psychological variables that independently affect outcome.</w:t>
      </w:r>
    </w:p>
    <w:p>
      <w:pPr>
        <w:pStyle w:val="Heading3"/>
      </w:pPr>
      <w:r>
        <w:t>Systemic Disease and Endodontic Prognosis</w:t>
      </w:r>
    </w:p>
    <w:p>
      <w:r>
        <w:rPr>
          <w:b w:val="0"/>
          <w:i w:val="0"/>
        </w:rPr>
        <w:t>Falcon and colleagues (2024) survey a wide range of systemic conditions with a real, documented association with apical periodontitis (AP) prevalence, severity, or healing — several of them genuinely new to this sub-module rather than duplicating 3.5's already-detailed diabetes and sickle cell anemia coverage. Chronic kidney disease (CKD) patients are almost 4 TIMES more likely to have AP than individuals without CKD, with AP severity positively correlated with serum creatinine and blood urea and negatively correlated with estimated glomerular filtration rate; end-stage renal disease patients are almost 3 times more likely to have AP, though causality has not been established for either finding. Strikingly, treating AP via root canal treatment in dialysis patients was associated with a LOWER death rate compared with patients whose AP went untreated — a real, if not yet causally proven, systemic-health argument for endodontic treatment in this population rather than extraction or observation [4, p.816].</w:t>
      </w:r>
    </w:p>
    <w:p>
      <w:r>
        <w:rPr>
          <w:b w:val="0"/>
          <w:i w:val="0"/>
        </w:rPr>
        <w:t>Inherited coagulation disorders (hemophilia A, hemophilia B, von Willebrand disease) are associated with roughly TWICE the prevalence of radiographic AP, hypothesized to reflect coagulation disorders' broader impairment of the nonspecific immune system's contribution to periapical healing. Autoimmune and inflammatory conditions show a more mixed picture worth presenting honestly rather than overstated: rheumatoid arthritis patients show a genuinely greater risk of both developing and failing to resolve endodontic infection, but there is no evidence of a rheumatoid-SPECIFIC immune response within periapical lesions themselves; immunosuppressive therapy for autoimmune disease could plausibly worsen healing by increasing infection susceptibility, yet some studies found no actual effect on periapical healing. Systemic lupus erythematosus carries a distinct, mechanistically specific risk: long-term corticosteroid therapy in SLE patients is associated with pulp obliteration, which can mask disease progression by reducing pain sensation in the affected tooth — a genuine diagnostic trap worth flagging explicitly, since a patient's lack of symptoms in this population is less reassuring than it would be otherwise [4, p.815-817].</w:t>
      </w:r>
    </w:p>
    <w:p>
      <w:r>
        <w:rPr>
          <w:b w:val="0"/>
          <w:i w:val="0"/>
        </w:rPr>
        <w:t>Smoking's effect on endodontic prognosis is real and dose-dependent, not merely a general health caveat: periapical healing after root canal treatment is reduced by 30% in smokers compared with nonsmokers, smokers carry roughly 3 times the risk of tooth extraction following endodontic treatment (further accelerated if periodontal health is also compromised), and root-filled teeth are twice as common in smokers as nonsmokers. A genuinely important exception, worth citing precisely because it cuts against the general pattern: healing after apical (surgical) endodontic treatment specifically shows SIMILAR success between smokers and nonsmokers at 1 year post-operatively, suggesting smoking's negative effect operates more through impaired healing of the intact periapical bone environment than through any surgical-specific mechanism [4, p.817].</w:t>
      </w:r>
    </w:p>
    <w:p>
      <w:r>
        <w:rPr>
          <w:b w:val="0"/>
          <w:i w:val="0"/>
        </w:rPr>
        <w:t>Two further genuinely distinct, easily-missed presentations are worth flagging for the differential-diagnosis discipline established in 3.3: Lyme disease's musculoskeletal and neuropathic involvement can produce tooth sensitivity or pulpitis-like pain that is a real, documented cause of endodontic misdiagnosis, distinct from (though overlapping with) the non-odontogenic mimics already catalogued in 3.3.2; and hypophosphatemic rickets — a condition producing enlarged pulp chambers (taurodontism), thin underdeveloped enamel, and abscesses WITHOUT caries or trauma — can present with multiple radiolucencies and sinus tracts that are nonetheless successfully treatable endodontically (confirmed healing at 1- and 2-year follow-up in case reports), though the atypical root/canal morphology this condition produces makes specialist referral advisable [4, p.816-817].</w:t>
      </w:r>
    </w:p>
    <w:p>
      <w:pPr>
        <w:pStyle w:val="Heading3"/>
      </w:pPr>
      <w:r>
        <w:t>Psychological Factors and Treatment Prognosis</w:t>
      </w:r>
    </w:p>
    <w:p>
      <w:r>
        <w:rPr>
          <w:b w:val="0"/>
          <w:i w:val="0"/>
        </w:rPr>
        <w:t>Kalladka and colleagues (2024) make the case, with real supporting evidence, that psychological and communication factors are not a soft addendum to treatment planning but a genuine, independent prognostic variable — directly reinforcing why Grossman's Case Difficulty Assessment Form (3.4.3) explicitly scores "patient disposition" as one of its patient-consideration risk factors rather than treating it as an afterthought. Clinician empathy specifically has a documented, quantifiable effect: one cited study found over 80% of patients are likely to recommend a physician they perceived as empathetic, and empathy has been linked to improved patient compliance, satisfaction, reduced anxiety/stress, and better diagnostic and treatment outcomes generally — a real, evidence-based reason to treat communication quality as a clinical variable, not merely a bedside-manner nicety [5, p.740].</w:t>
      </w:r>
    </w:p>
    <w:p>
      <w:r>
        <w:rPr>
          <w:b w:val="0"/>
          <w:i w:val="0"/>
        </w:rPr>
        <w:t>Informed consent quality is a genuine, documented weak point worth designing around rather than assuming is adequate by default: a cited systematic review found only 20% to 86% of patients could recall having received informed consent, and only 27% to 85% could actually COMPREHEND the information given, with some patients firmly denying ever having received it at all. This is the direct evidentiary basis for this project's own repeated treatment-planning guidance (3.4.1, 3.4.3) that a patient's understanding of prognosis, risk, and treatment complexity should be explicitly documented in the record rather than assumed from having had "the conversation" — the data suggest that conversation alone measurably fails to transfer understanding in a large minority to a majority of cases [5, p.741].</w:t>
      </w:r>
    </w:p>
    <w:p>
      <w:r>
        <w:rPr>
          <w:b w:val="0"/>
          <w:i w:val="0"/>
        </w:rPr>
        <w:t>Dental fear and anxiety itself, already covered clinically in Sub-Module 3.6, is reframed here specifically as a PROGNOSTIC variable: approximately 15% of the world's population reports fear or anxiety about dental treatment significant enough to affect care-seeking behavior, and a proposed "vicious circle of dental fear" model holds that anxiety leads to avoidance, avoidance allows disease to progress further before treatment is finally sought, and the resulting more complex, more urgent treatment need itself reinforces the original fear for future care — directly connecting the behavioral-management content of 3.6.1 to this section's treatment-planning and case-difficulty framework, rather than treating anxiety management as a separate concern from prognosis [5, p.741-742].</w:t>
      </w:r>
    </w:p>
    <w:p>
      <w:pPr>
        <w:pStyle w:val="Heading3"/>
      </w:pPr>
      <w:r>
        <w:t>3.4.5 Outcome Assessment Criteria: Strindberg, the Periapical Index, and the AAE Classification</w:t>
      </w:r>
    </w:p>
    <w:p>
      <w:r>
        <w:rPr>
          <w:b w:val="0"/>
          <w:i w:val="0"/>
        </w:rPr>
        <w:t>**Added on user request**, from Chugal, Mallya, Kahler &amp; Lin's 2017 DCNA review. Every outcome percentage cited in 3.4.1/3.4.2 — the 86% radiographic healing figure, the 97% retention figure, the 19.1% failure figure — depends entirely on which of several genuinely different outcome-classification systems the underlying study used, and those systems are neither interchangeable nor always in agreement about the same radiograph. Understanding the criteria themselves is therefore not academic background but a direct precondition for interpreting the prognosis numbers already presented.</w:t>
      </w:r>
    </w:p>
    <w:p>
      <w:pPr>
        <w:pStyle w:val="Heading3"/>
      </w:pPr>
      <w:r>
        <w:t>Strindberg Criteria</w:t>
      </w:r>
    </w:p>
    <w:p>
      <w:r>
        <w:rPr>
          <w:b w:val="0"/>
          <w:i w:val="0"/>
        </w:rPr>
        <w:t>Strindberg's landmark study established the first widely adopted outcome criteria, based on comparative clinical and radiographic evaluation at treatment and at follow-up (every 6 months for the first 2 years, then yearly, to a minimum of 4 years postoperatively), producing three categories [6, p.60].</w:t>
      </w:r>
    </w:p>
    <w:p>
      <w:r>
        <w:rPr>
          <w:b/>
        </w:rPr>
        <w:t xml:space="preserve">DEFINITION — Strindberg — Success: </w:t>
      </w:r>
      <w:r>
        <w:t>clinically, no symptoms; radiographically, normal contours and width of the periodontal ligament space (or a widened space confined to the area of excess root-filling material) with an intact lamina dura. Notably, a root with resorption but no periradicular pathologic change is still categorized as success [6, p.60, 62].</w:t>
      </w:r>
    </w:p>
    <w:p>
      <w:r>
        <w:rPr>
          <w:b/>
        </w:rPr>
        <w:t xml:space="preserve">DEFINITION — Strindberg — Failure: </w:t>
      </w:r>
      <w:r>
        <w:t>symptoms present clinically; OR, radiographically, unchanged periradicular rarefaction, a decrease in rarefaction size without full resolution, appearance of a new rarefaction or enlargement of the original one, or a discontinuous/poorly defined lamina dura [6, p.61].</w:t>
      </w:r>
    </w:p>
    <w:p>
      <w:r>
        <w:rPr>
          <w:b/>
        </w:rPr>
        <w:t xml:space="preserve">DEFINITION — Strindberg — Uncertain: </w:t>
      </w:r>
      <w:r>
        <w:t>an ambiguous or technically unsatisfactory radiograph that cannot be interpreted with certainty; periradicular rarefaction under 1 mm with a disrupted lamina dura; or a tooth extracted before recall for reasons unrelated to the endodontic outcome itself [6, p.63].</w:t>
      </w:r>
    </w:p>
    <w:p>
      <w:r>
        <w:rPr>
          <w:b w:val="0"/>
          <w:i w:val="0"/>
        </w:rPr>
        <w:t>Strindberg's own 4-year outcome data illustrate exactly why the preoperative-periapical-radiolucency prognostic factor already established in 3.4.1 is so strong: teeth with no preoperative radiolucency achieved 89.16% success versus only 68.40% for teeth with a preoperative radiolucency, for an aggregate success rate of 80.79% (failure 16.49%, uncertain 2.71%) — a statistically significant difference (P&lt;.05) [6, p.69].</w:t>
      </w:r>
    </w:p>
    <w:p>
      <w:r>
        <w:rPr>
          <w:b w:val="0"/>
          <w:i w:val="0"/>
        </w:rPr>
        <w:t>Strindberg's criteria became the field standard but are, by Chugal and colleagues' own explicit characterization, genuinely rigid: only a tooth with complete absence of symptoms AND a fully normal radiographic picture qualifies as success, while an asymptomatic tooth with merely a broken or poorly defined lamina dura falls into the uncertain category and requires clinical judgment for further management [6, p.65]. A further real limitation is radiographic: periapical lesions confined to cancellous bone are not reliably detected on conventional 2-D radiography at all (bone changes only become radiographically apparent once sufficient demineralization has occurred), and radiographic interpretation itself is genuinely subjective and observer-dependent — both reasons any outcome study using purely radiographic criteria should be read with real caution about false negatives and inter-observer variability [6, p.65].</w:t>
      </w:r>
    </w:p>
    <w:p>
      <w:pPr>
        <w:pStyle w:val="Heading3"/>
      </w:pPr>
      <w:r>
        <w:t>The Periapical Index (PAI) and CBCT-PAI</w:t>
      </w:r>
    </w:p>
    <w:p>
      <w:r>
        <w:rPr>
          <w:b w:val="0"/>
          <w:i w:val="0"/>
        </w:rPr>
        <w:t>To address the reproducibility problem, the Periapical Index (PAI) was developed as a structured 5-point ordinal scale for scoring apical periodontitis severity on a conventional periapical radiograph, built on a histologic-radiologic correlation study: (1) normal periapical structures; (2) small bone-structure changes with no demineralization; (3) bone-structure changes with some diffuse demineralization; (4) apical periodontitis with a well-defined radiolucent area; (5) severe apical periodontitis with exacerbating features [6, p.66]. A CBCT-adapted version, the CBCT-PAI, extends this to a 6-point scale based on radiolucency diameter (0: intact structures; 1: 0.5-1mm; 2: 1-2mm; 3: 2-4mm; 4: 4-8mm; 5: &gt;8mm) plus two additional qualifiers for cortical-bone expansion (E) and destruction (D) — reflecting CBCT's genuinely greater sensitivity for detecting periapical radiolucencies than 2-D radiography, consistent with the CBCT-versus-periapical-film accuracy data already presented in Sub-Module 3.2 [6, p.66]. This greater sensitivity, however, does not translate into a mandate for routine CBCT use in outcome monitoring: the joint AAE/American Academy of Oral and Maxillofacial Radiology guidelines explicitly recommend AGAINST using CBCT as a routine outcome-assessment tool for asymptomatic teeth, reserving it for cases where clinical findings or 2-D radiography leave a genuine diagnostic question — for example, identifying an untreated canal as the cause of a failing retreatment case — rather than as a standard follow-up imaging step once a tooth is asymptomatic [6, p.67-68].</w:t>
      </w:r>
    </w:p>
    <w:p>
      <w:pPr>
        <w:pStyle w:val="Heading3"/>
      </w:pPr>
      <w:r>
        <w:t>The AAE-Approved Outcome Classification</w:t>
      </w:r>
    </w:p>
    <w:p>
      <w:r>
        <w:rPr>
          <w:b w:val="0"/>
          <w:i w:val="0"/>
        </w:rPr>
        <w:t>Recognizing that Strindberg's rigid success/failure/uncertain framework does not map well onto a tooth's actual functional status, the AAE reviewed outcome measures used across other specialties and approved a new, function-centered classification as an alternative to Strindberg criteria [6, p.67].</w:t>
      </w:r>
    </w:p>
    <w:p>
      <w:r>
        <w:rPr>
          <w:b/>
        </w:rPr>
        <w:t xml:space="preserve">DEFINITION — Healed (AAE): </w:t>
      </w:r>
      <w:r>
        <w:t>a functional, asymptomatic tooth with no or minimal radiographic periradicular pathosis [6, p.67].</w:t>
      </w:r>
    </w:p>
    <w:p>
      <w:r>
        <w:rPr>
          <w:b/>
        </w:rPr>
        <w:t xml:space="preserve">DEFINITION — Nonhealed (AAE): </w:t>
      </w:r>
      <w:r>
        <w:t>a nonfunctional, symptomatic tooth, with or without radiographic periradicular pathosis [6, p.67].</w:t>
      </w:r>
    </w:p>
    <w:p>
      <w:r>
        <w:rPr>
          <w:b/>
        </w:rPr>
        <w:t xml:space="preserve">DEFINITION — Healing (AAE): </w:t>
      </w:r>
      <w:r>
        <w:t>a tooth with periradicular pathosis that is asymptomatic and functional, OR a tooth (with or without radiographic pathosis) that is symptomatic but whose intended function is not altered [6, p.67].</w:t>
      </w:r>
    </w:p>
    <w:p>
      <w:r>
        <w:rPr>
          <w:b/>
        </w:rPr>
        <w:t xml:space="preserve">DEFINITION — Functional (AAE): </w:t>
      </w:r>
      <w:r>
        <w:t>a treated tooth or root that is serving its intended purpose in the dentition — the organizing concept behind all three outcome categories above [6, p.67].</w:t>
      </w:r>
    </w:p>
    <w:p>
      <w:r>
        <w:rPr>
          <w:b w:val="0"/>
          <w:i w:val="0"/>
        </w:rPr>
        <w:t>The clinical payoff of the AAE system is that it can reclassify the SAME radiograph differently from Strindberg criteria once symptom status is factored in: a persistent, unresolved periapical radiolucency that Strindberg criteria would call an outright failure is instead categorized by the AAE system as "nonhealed" only if the tooth remains symptomatic — the identical radiographic picture in an asymptomatic tooth is instead "healing," not failure. This is not a semantic distinction; it reflects the same real conceptual shift already introduced in this project's discussion of Healed/Nonhealed/Healing/Functional terminology — endodontic success is increasingly defined by patient-centered survival and function, even in the continued radiographic presence of periapical disease, rather than by radiographic normalization alone [6, p.68]. This directly reframes how the survival and healing percentages already cited in 3.4.2 should be read: a study's reported "success" rate can differ substantially depending on whether it applied Strindberg's radiograph-only criteria or the AAE's function-based criteria to the same set of outcomes.</w:t>
      </w:r>
    </w:p>
    <w:p>
      <w:pPr>
        <w:pStyle w:val="Heading1"/>
      </w:pPr>
      <w:r>
        <w:t>References</w:t>
      </w:r>
    </w:p>
    <w:p>
      <w:r>
        <w:rPr>
          <w:b w:val="0"/>
          <w:i w:val="0"/>
        </w:rPr>
        <w:t>[1] Cohen S, Hargreaves KM, Berman LH, eds. Cohen's Pathways of the Pulp, 12th ed. St. Louis: Elsevier; 2021. Ch.5, "Case Assessment and Treatment Planning" (Rosenberg PA, Malek M).</w:t>
      </w:r>
    </w:p>
    <w:p>
      <w:r>
        <w:rPr>
          <w:b w:val="0"/>
          <w:i w:val="0"/>
        </w:rPr>
        <w:t>[2] Ingle JI, Bakland LK, Baumgartner JC, eds. Ingle's Endodontics, 7th ed. Raleigh: PMPH-USA; 2019. Ch.11, "Treatment Planning and Case Selection."</w:t>
      </w:r>
    </w:p>
    <w:p>
      <w:r>
        <w:rPr>
          <w:b w:val="0"/>
          <w:i w:val="0"/>
        </w:rPr>
        <w:t>[3] Grossman LI (founding ed.); revised by Sharma S. Grossman's Endodontic Practice, 14th ed. New Delhi: Wolters Kluwer; 2020. Ch.8, "Selection of Cases for Treatment."</w:t>
      </w:r>
    </w:p>
    <w:p>
      <w:r>
        <w:rPr>
          <w:b w:val="0"/>
          <w:i w:val="0"/>
        </w:rPr>
        <w:t>[4] Falcon CY, Agnihotri V, Gogia A, Guruswamy Pandian AP. Systemic Factors Affecting Prognosis and Outcome of Endodontic Therapy. Dent Clin North Am 2024;68(4):813-826.</w:t>
      </w:r>
    </w:p>
    <w:p>
      <w:r>
        <w:rPr>
          <w:b w:val="0"/>
          <w:i w:val="0"/>
        </w:rPr>
        <w:t>[5] Kalladka M, Markman S, Raman KR, Mansdorf A. Psychological Factors Determining Prognosis of Dental Treatments. Dent Clin North Am 2024;68(4):739-750.</w:t>
      </w:r>
    </w:p>
    <w:p>
      <w:r>
        <w:rPr>
          <w:b w:val="0"/>
          <w:i w:val="0"/>
        </w:rPr>
        <w:t>[6] Chugal N, Mallya SM, Kahler B, Lin LM. Endodontic Treatment Outcomes. Dent Clin North Am 2017;61(1):59-80.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