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3.5: Management of the Medically Complex Endodontic Patient</w:t>
      </w:r>
    </w:p>
    <w:p>
      <w:r>
        <w:rPr>
          <w:b/>
          <w:i w:val="0"/>
        </w:rPr>
        <w:t>Module 2 — Endodontics, Sub-Module 3: Endodontic Diagnosis &amp; Examination</w:t>
      </w:r>
    </w:p>
    <w:p>
      <w:pPr>
        <w:pStyle w:val="Heading1"/>
      </w:pPr>
      <w:r>
        <w:t>Note on Sources</w:t>
      </w:r>
    </w:p>
    <w:p>
      <w:r>
        <w:rPr>
          <w:b w:val="0"/>
          <w:i w:val="0"/>
        </w:rPr>
        <w:t>Built primarily from Ingle's Endodontics, 7th ed., Ch.31 "Management Considerations for the Medically Complex Endodontic Patient" and Ch.32 "Drug Interactions and Laboratory Tests" — both genuinely dense, evidence-based chapters that give this section far more real, quantified clinical detail than the outline's own brief bullet-point framing. Seltzer and Bender's Dental Pulp, 2nd ed., Ch.20 "Interrelationship of Pulp and Systemic Disease," supplies the section's organizing conceptual framework. Harty's Endodontics in Clinical Practice, 7th ed., Ch.2, "General and Systemic Aspects of Endodontics," supplies a UK/NICE perspective that corroborates Ingle's American Heart Association-based guidance from an independent, non-US regulatory source — genuinely useful confirmation that these are not merely one country's institutional recommendations. **Added on user request**: Prabhakar S, Sreehari S, Naik V, Thomas DC. "Drug Dosages and Interactions: Standardizations in Dental Practice." Dent Clin North Am 2026;70(2):225-242 — a Dental Clinics of North America review, found in the project's DCNA article collection, that is substantially more current (2025-2026) than Ingle's 2019 chapter on the specific points of antibiotic prophylaxis and antibiotic-warfarin interaction, including at least one real, concrete guidance change (clindamycin no longer recommended for prophylaxis) not reflected in the 2019 textbook.</w:t>
      </w:r>
    </w:p>
    <w:p>
      <w:r>
        <w:rPr>
          <w:b w:val="0"/>
          <w:i w:val="0"/>
        </w:rPr>
        <w:t>Citation convention: this chapter of Ingle's has a markedly different, and itself internally drifting, marker-to-printed-page offset from the chapters used in Sub-Modules 3.1-3.4 — verified locally at multiple points as marker+121 = printed page for Ch.31 (confirmed at marker 862→printed 983; marker 866→987; marker 867→988; marker 870→991; marker 874→995; marker 875→996) and marker+127 = printed page for Ch.32 (confirmed at marker 882→1009; marker 886→1013) — cited as `[1, p.X]`. Seltzer &amp; Bender's uses its confirmed direct offset (marker = printed page) — cited as `[2, p.X]`. Harty's uses its confirmed offset (marker−16 = printed page, reverified at marker 31→printed 15) — cited as `[3, p.X]`. The Prabhakar et al. DCNA article has real printed pagination (225-242) confirmed as PDF page+224 = printed page (verified at three points) — cited as `[4, p.X]`.</w:t>
      </w:r>
    </w:p>
    <w:p>
      <w:pPr>
        <w:pStyle w:val="Heading2"/>
      </w:pPr>
      <w:r>
        <w:t>3.5 Management of the Medically Complex Endodontic Patient</w:t>
      </w:r>
    </w:p>
    <w:p>
      <w:r>
        <w:rPr>
          <w:b w:val="0"/>
          <w:i w:val="0"/>
        </w:rPr>
        <w:t>Seltzer and Bender's frames this entire sub-module around two distinct clinical questions that a clinician must ask of every medically complex patient: first, does an underlying systemic condition actually explain or contribute to the patient's presenting complaint (for example, distinguishing sinusitis-referred odontalgia from true pulpal pain); and second, independent of the first question, does the patient's health status itself require the delivery of dental care to be modified (for example, whether apical surgery is advisable on a tooth previously exposed to therapeutic head-and-neck irradiation) [2, p.841]. Keeping these two questions distinct is the organizing discipline behind everything that follows in this section.</w:t>
      </w:r>
    </w:p>
    <w:p>
      <w:pPr>
        <w:pStyle w:val="Heading3"/>
      </w:pPr>
      <w:r>
        <w:t>3.5.1 Cardiovascular Disease and Anticoagulant/Antiplatelet Therapy</w:t>
      </w:r>
    </w:p>
    <w:p>
      <w:r>
        <w:rPr>
          <w:b w:val="0"/>
          <w:i w:val="0"/>
        </w:rPr>
        <w:t>Guidance on infective endocarditis (IE) antibiotic prophylaxis has narrowed substantially from older, broader recommendations. Current American Heart Association guidance no longer recommends prophylaxis for mitral valve prolapse, rheumatic heart disease, bicuspid valve disease, aortic stenosis, or most congenital heart conditions; it is now reserved specifically for the highest-risk valvular disease categories, and only for procedures involving manipulation of gingival tissue, the periapical region, or perforation of the oral mucosa [1, p.987]. This narrowing is directly evidence-based: instrumentation confined within the canal system produces only a very low incidence and magnitude of bacteremia, and nearly all bacteria are cleared from the blood within 10 minutes — meaning routine nonsurgical root canal treatment (local anesthetic injection, dam placement, intracanal instrumentation) does not meaningfully raise IE risk even in susceptible patients, whereas instrumentation extending beyond the apex, intraligamentary/intraosseous injection, and periapical surgery all genuinely increase transient bacteremia risk and warrant prophylaxis in the highest-risk group [1, p.987]. A UK-based NICE review corroborates this narrowing from an independent regulatory source: it noted a measurable rise in IE incidence coinciding with an almost 90% national reduction in antibiotic prophylaxis use, but concluded the causal relationship remains unclear enough that no new prophylaxis recommendations were warranted [3, p.15] — a real, unresolved tension in the evidence worth presenting honestly rather than glossing over.</w:t>
      </w:r>
    </w:p>
    <w:p>
      <w:r>
        <w:rPr>
          <w:b w:val="0"/>
          <w:i w:val="0"/>
        </w:rPr>
        <w:t>Anticoagulant management follows a similar evidence-based, procedure-specific logic rather than a blanket "stop the anticoagulant" rule. For warfarin, the INR is the standard measure of anticoagulation intensity (typical therapeutic range 2.0-3.5); nonsurgical root canal treatment does not usually require any modification of anticoagulant therapy, though confirming the INR is within therapeutic range remains important, particularly before a nerve block. Periapical surgery presents a genuinely greater hemostasis challenge even within the therapeutic range, and may require physician consultation; a prospective cohort study found that a 2-day warfarin suspension before a surgical procedure produced no bleeding problems and no thromboembolic events, with 90% of patients returning to therapeutic INR within 7 days — but this strategy is not appropriate for every patient, since discontinuation itself carries thromboembolic risk that must be weighed case by case with the prescribing physician [1, p.988]. Newer oral anticoagulants and antiplatelet agents are increasingly encountered in dental patients and carry their own distinct bleeding-risk profile requiring the same individualized, interaction-aware approach [3, p.15].</w:t>
      </w:r>
    </w:p>
    <w:p>
      <w:r>
        <w:rPr>
          <w:b w:val="0"/>
          <w:i w:val="0"/>
        </w:rPr>
        <w:t>Hypertension management centers on vasoconstrictor use, and the evidence here directly undercuts a common clinical assumption that avoiding epinephrine altogether is the "safer" choice for a cardiovascular patient. Stress itself can raise endogenous epinephrine release by 20 to 40 times over baseline; pooled results from six studies of patients undergoing extraction or minor oral surgery found untreated procedural stress alone raised systolic and diastolic blood pressure by an average of 11.7 mm Hg and 3.3 mm Hg respectively (heart rate +4.7 bpm) — and adding a local anesthetic containing epinephrine to control that pain produced only a relatively minor ADDITIONAL rise of about 4 mm Hg systolic and six bpm on top of that stress response, not a separate, larger effect of its own [1, p.985]. Most authors consider approximately 0.036 mg of epinephrine (roughly two cartridges of 1:100,000 local anesthetic) safe for cardiovascular disease patients other than those with severe disease, specific additional risk factors, or urgent blood pressure elevation — the general principle is to minimize, not necessarily eliminate, vasoconstrictor use, weighing that against the genuine anesthetic benefit of greater depth and duration [1, p.986]. For congestive heart failure specifically, the New York Heart Association functional classification (Class I through IV) maps directly onto dental management decisions: Class I and II patients generally tolerate routine treatment with a standard stress-reduction protocol, while Class III and IV patients require medical consultation, vasoconstrictor avoidance, and often treatment in a hospital-based dental clinic rather than a general practice setting [1, p.990].</w:t>
      </w:r>
    </w:p>
    <w:p>
      <w:r>
        <w:rPr>
          <w:b w:val="0"/>
          <w:i w:val="0"/>
        </w:rPr>
        <w:t>**Added on user request, from a 2026 Dental Clinics of North America review** (Prabhakar, Sreehari, Naik &amp; Thomas) found in the project's DCNA article collection — a genuinely current update on a point already flagged above as unresolved. The review states plainly that there remains NO conclusive evidence for the effectiveness of antibiotic prophylaxis in preventing infective endocarditis OR prosthetic joint infection in dental procedures, so the decision should rest on an explicit risk-benefit assessment rather than a reflexive prescription. One concrete, actionable update since Ingle's 7th ed. (2019): clindamycin is NO LONGER recommended for antibiotic prophylaxis at all, because of its own potential side effects — a real, current change worth knowing specifically because clindamycin was for years the standard alternative for penicillin-allergic patients needing prophylaxis [4, p.231].</w:t>
      </w:r>
    </w:p>
    <w:p>
      <w:pPr>
        <w:pStyle w:val="Heading3"/>
      </w:pPr>
      <w:r>
        <w:t>3.5.2 Diabetes Mellitus</w:t>
      </w:r>
    </w:p>
    <w:p>
      <w:r>
        <w:rPr>
          <w:b w:val="0"/>
          <w:i w:val="0"/>
        </w:rPr>
        <w:t>Diabetes and endodontic infection genuinely affect each other bidirectionally — poorly controlled diabetes measurably increases the risk of oral infection, including pulpitis, while poorly controlled oral infection can itself worsen glycemic control, the same two-way relationship named explicitly in Seltzer &amp; Bender's opening framework [2, p.841]. HbA1c (reflecting average blood glucose over the preceding 3 months) is considered the more clinically reliable diagnostic and monitoring test compared to a single fasting glucose reading: normal is below 5.7%, prediabetes is 5.7-6.4%, diabetes is 6.5% or greater, and the treatment goal for most diabetic patients is under 7% [1, p.991]. Chair-time practicalities matter directly here — dental appointments should avoid overlapping with or displacing scheduled meals given the risk of hypoglycemia, and a genuine hypoglycemic emergency (progressing from anxiety, sweating, and tachycardia to mental status change, seizure, or coma) is managed with 15 g of fast oral carbohydrate if the patient can swallow, or 1 mg glucagon subcutaneously/intramuscularly if not [1, p.991].</w:t>
      </w:r>
    </w:p>
    <w:p>
      <w:r>
        <w:rPr>
          <w:b w:val="0"/>
          <w:i w:val="0"/>
        </w:rPr>
        <w:t>Well-controlled diabetics are NOT at meaningfully increased risk of postoperative infection compared to nondiabetics, and therefore do not require prophylactic antibiotics for routine surgical procedures on that basis alone; poorly controlled diabetics, by contrast, warrant prophylactic antibiotic consideration because of altered neutrophil function, and surgery itself can transiently worsen insulin resistance and precipitate postoperative hyperglycemia. Delayed alveolar healing after dentoalveolar surgery in a diabetic patient should specifically raise suspicion for osteomyelitis and prompt surgical consultation rather than being dismissed as ordinary slow healing [1, p.991].</w:t>
      </w:r>
    </w:p>
    <w:p>
      <w:pPr>
        <w:pStyle w:val="Heading3"/>
      </w:pPr>
      <w:r>
        <w:t>3.5.3 Immunocompromised Patients</w:t>
      </w:r>
    </w:p>
    <w:p>
      <w:r>
        <w:rPr>
          <w:b w:val="0"/>
          <w:i w:val="0"/>
        </w:rPr>
        <w:t>Chemotherapy and hematopoietic stem cell transplantation (HSCT) patients require pretreatment endodontic therapy completed at least 10 days before cancer therapy begins, using that same 10-day window to guide extraction decisions for teeth with a poor prognosis, with prophylactic antibiotics considered specifically for neutropenic patients (absolute neutrophil count under 1,000/mm3). Following high-dose chemotherapy or HSCT, routine dental treatment — including simple scaling and polishing, not only invasive procedures — should generally be deferred until adequate immunologic reconstitution, typically no sooner than 1 year post-transplant, given real risks of aspiration pneumonia from aerosolized debris and of treatment-related bacteremia in this population; treatment required within that window needs direct consultation with the patient's oncologist [1, p.994-996].</w:t>
      </w:r>
    </w:p>
    <w:p>
      <w:r>
        <w:rPr>
          <w:b w:val="0"/>
          <w:i w:val="0"/>
        </w:rPr>
        <w:t>Solid organ transplant recipients should have dental disease, including endodontic treatment, addressed and elective care deferred BEFORE transplantation to eliminate potential infection sources ahead of the post-transplant immunosuppressive period; in the immediate post-transplant window, when immunosuppression is at its most intense to prevent organ rejection, AHA-pattern antibiotic prophylaxis may be appropriate for invasive procedures, and any episode of transplant rejection should limit dental care to emergencies only until the patient restabilizes [1, p.996].</w:t>
      </w:r>
    </w:p>
    <w:p>
      <w:r>
        <w:rPr>
          <w:b w:val="0"/>
          <w:i w:val="0"/>
        </w:rPr>
        <w:t>For HIV-positive patients, no modification of irreversible or surgical procedures is generally needed UNLESS the patient has a reduced platelet count (under 50,000/mL) or neutrophil count (under 1,000/mL), at which point antibiotic prophylaxis may be warranted — routine antibiotic use otherwise is not indicated. Healing outcomes for necrotic teeth with chronic apical periodontitis after root canal treatment, and for surgically treated teeth, are essentially equivalent between HIV-positive and HIV-negative patients — a genuinely reassuring, evidence-based finding worth stating explicitly rather than assuming a worse prognosis by default [1, p.997]. The endodontist should also examine oral tissues carefully in this population, since certain oral lesions can be the first sign of unrecognized HIV infection or can indicate disease progression toward AIDS.</w:t>
      </w:r>
    </w:p>
    <w:p>
      <w:r>
        <w:rPr>
          <w:b w:val="0"/>
          <w:i w:val="0"/>
        </w:rPr>
        <w:t>A genuinely underrecognized immunocompromised population worth flagging alongside these three (not originally named in the outline, but corroborated by Ingle's own dedicated coverage): sickle cell anemia (SCA), affecting roughly 1 in 400 African-Americans and up to 30% of some Central/West African populations. SCA's vaso-occlusive pathology can cause pulpal necrosis in an otherwise structurally intact, unrestored tooth — one clinical study found pulpal necrosis in clinically intact permanent teeth was 8.33 times more common in SCA patients than non-SCA controls — and because infection can itself precipitate a sickle cell crisis, asymptomatic necrotic teeth in SCA patients should be treated proactively before acute symptoms or infection develop, rather than watched [1, p.997].</w:t>
      </w:r>
    </w:p>
    <w:p>
      <w:pPr>
        <w:pStyle w:val="Heading3"/>
      </w:pPr>
      <w:r>
        <w:t>3.5.4 Pregnancy</w:t>
      </w:r>
    </w:p>
    <w:p>
      <w:r>
        <w:rPr>
          <w:b w:val="0"/>
          <w:i w:val="0"/>
        </w:rPr>
        <w:t>Endodontic treatment for genuine dental pain or infection should proceed regardless of trimester when indicated — deferring necessary treatment of an active infection source is not the safer option merely because the patient is pregnant — though purely elective procedures are best scheduled for the second trimester, and diagnostic radiographs with standard safety precautions carry no contraindication in pregnancy at any stage [1, p.996]. Lidocaine and prilocaine (FDA category B) should be first-line local anesthetic choices; a common and clinically important misconception is that epinephrine-containing anesthetic should be avoided in pregnancy — it is considered relatively safe and is in fact preferable, since it allows greater anesthetic depth/duration and reduces the systemic lidocaine dose needed, whereas the only common vasoconstrictor-free alternative, 3% mepivacaine, is FDA category C. Commonly needed antibiotics — amoxicillin, azithromycin, cephalexin, clindamycin, penicillin — are category B and available as safe first-line choices when antibiotic therapy is genuinely indicated [1, p.996]. Pregnant patients also carry a real, physiologically-based increased susceptibility to infection from combined hormonal and pharmacokinetic changes — a further reason not to defer treatment of an active infection [1, p.996].</w:t>
      </w:r>
    </w:p>
    <w:p>
      <w:pPr>
        <w:pStyle w:val="Heading3"/>
      </w:pPr>
      <w:r>
        <w:t>3.5.5 Drug Interactions and Laboratory Tests Relevant to Endodontic Prescribing</w:t>
      </w:r>
    </w:p>
    <w:p>
      <w:r>
        <w:rPr>
          <w:b w:val="0"/>
          <w:i w:val="0"/>
        </w:rPr>
        <w:t>Macrolide antibiotics (erythromycin, clarithromycin, azithromycin) are a recurring theme across several genuinely serious drug-interaction categories relevant to endodontic prescribing, because they share hepatic metabolic pathways with several important drug classes and can raise those drugs to dangerous concentrations by slowing their clearance rather than through a pharmacodynamic mechanism. Combined with statins, this interaction can produce severe muscle wasting (rhabdomyolysis), detectable via elevated creatinine phosphokinase; combined with ergot derivatives used for vascular headache, it can induce peripheral ischemia through vasospasm that does not always respond to reversal therapy; and combined with theophylline, it can push an already near-toxic therapeutic dose into a genuinely dangerous range [1, p.1008-1009]. Beyond prescription-drug interactions, dietary supplements and herbal products are a real and underappreciated risk: one cited study found 45% of herbal supplement users had at least one potential drug-herb interaction, and nearly 70% of complementary/alternative medicine users do not volunteer this information to their healthcare providers unless specifically asked [1, p.1013-1015] — making direct, explicit supplement questioning (not just a generic medication list) a real, actionable part of the endodontic medical history. Concretely relevant examples include vitamin E, which can increase bleeding risk when combined with warfarin, NSAIDs, or other antiplatelet/anticoagulant agents by inhibiting platelet aggregation, and excess vitamin K intake, which can directly reduce warfarin's anticoagulant effect [1, p.1015].</w:t>
      </w:r>
    </w:p>
    <w:p>
      <w:r>
        <w:rPr>
          <w:b w:val="0"/>
          <w:i w:val="0"/>
        </w:rPr>
        <w:t>**Added on user request**, the Prabhakar et al. DCNA review supplies a more specific, mechanism-by-mechanism breakdown of antibiotic-warfarin interaction than a single general warning conveys, directly relevant given how commonly dentists prescribe these exact antibiotics: penicillin reduces the body's own vitamin K production, raising INR, and warrants INR monitoring for 3 days postoperatively; metronidazole alters warfarin's metabolism and increases its half-life, raising real bleeding risk, and the recommended management is to avoid the combination altogether or, if unavoidable, reduce the warfarin dose by roughly half; erythromycin (and by the shared mechanism already discussed above, the other macrolides) alters warfarin metabolism via cytochrome P450 interaction, increasing bleeding risk, prothrombin time, and bruising, and should likewise be avoided with concurrent INR monitoring if it cannot be; and tetracycline reduces prothrombin activity directly, again raising INR and warranting monitoring [4, p.233]. The same review reinforces, with current (2025-2026) sourcing, the antibiotic-stewardship principle already established in Sub-Module 2.3.5: antibiotics are NOT indicated for a healthy adult with pulpal necrosis or apical periodontitis in the absence of swelling or systemic involvement, and are appropriate only as an adjunct to definitive conservative dental treatment when systemic involvement or an acute apical abscess is actually present [4, p.232].</w:t>
      </w:r>
    </w:p>
    <w:p>
      <w:r>
        <w:rPr>
          <w:b w:val="0"/>
          <w:i w:val="0"/>
        </w:rPr>
        <w:t>The laboratory values most directly relevant to safe endodontic treatment planning, drawn together from across this section, are: INR for patients on vitamin K antagonist anticoagulants (typical therapeutic target 2.0-3.5); HbA1c and fasting glucose for diabetic patients (HbA1c goal generally under 7%); and absolute neutrophil and platelet counts for immunocompromised and HIV-positive patients (prophylaxis generally considered below 1,000 neutrophils/mL or 50,000 platelets/mL) — reviewing or requesting these values before treatment, rather than relying on the patient's subjective sense of being "well controlled," is the concrete, actionable link between this section's laboratory-medicine content and the clinical decisions made in 3.5.1-3.5.4 above.</w:t>
      </w:r>
    </w:p>
    <w:p>
      <w:pPr>
        <w:pStyle w:val="Heading1"/>
      </w:pPr>
      <w:r>
        <w:t>References</w:t>
      </w:r>
    </w:p>
    <w:p>
      <w:r>
        <w:rPr>
          <w:b w:val="0"/>
          <w:i w:val="0"/>
        </w:rPr>
        <w:t>[1] Ingle JI, Bakland LK, Baumgartner JC, eds. Ingle's Endodontics, 7th ed. Raleigh: PMPH-USA; 2019. Ch.31, "Management Considerations for the Medically Complex Endodontic Patient"; Ch.32, "Drug Interactions and Laboratory Tests."</w:t>
      </w:r>
    </w:p>
    <w:p>
      <w:r>
        <w:rPr>
          <w:b w:val="0"/>
          <w:i w:val="0"/>
        </w:rPr>
        <w:t>[2] Hargreaves KM, Cohen S, eds. Seltzer and Bender's Dental Pulp, 2nd ed. Chicago: Quintessence; 2012. Ch.20, "Interrelationship of Pulp and Systemic Disease" (Huber MA).</w:t>
      </w:r>
    </w:p>
    <w:p>
      <w:r>
        <w:rPr>
          <w:b w:val="0"/>
          <w:i w:val="0"/>
        </w:rPr>
        <w:t>[3] Berman LH, Hargreaves KM, et al. Harty's Endodontics in Clinical Practice, 7th ed. Edinburgh: Elsevier; 2021. Ch.2, "General and Systemic Aspects of Endodontics."</w:t>
      </w:r>
    </w:p>
    <w:p>
      <w:r>
        <w:rPr>
          <w:b w:val="0"/>
          <w:i w:val="0"/>
        </w:rPr>
        <w:t>[4] Prabhakar S, Sreehari S, Naik V, Thomas DC. Drug Dosages and Interactions: Standardizations in Dental Practice. Dent Clin North Am 2026;70(2):225-242.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