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4.4: Irrigation &amp; Intracanal Medicaments</w:t>
      </w:r>
    </w:p>
    <w:p>
      <w:r>
        <w:rPr>
          <w:b/>
          <w:i w:val="0"/>
        </w:rPr>
        <w:t>Module 2 — Endodontics, Sub-Module 4: Nonsurgical Endodontic Treatment</w:t>
      </w:r>
    </w:p>
    <w:p>
      <w:pPr>
        <w:pStyle w:val="Heading1"/>
      </w:pPr>
      <w:r>
        <w:t>Note on Sources</w:t>
      </w:r>
    </w:p>
    <w:p>
      <w:r>
        <w:rPr>
          <w:b w:val="0"/>
          <w:i w:val="0"/>
        </w:rPr>
        <w:t>Built from a single source. Cohen's Pathways of the Pulp, 12th ed., Ch.8 "Cleaning and Shaping the Root Canal System" contains a genuinely comprehensive, mechanism-level irrigation and intracanal-medicament section that substantially exceeds the outline's own brief bullet-point treatment — real chemical mechanism diagrams for NaOCl's five concurrent reactions, quantified concentration/temperature/time data, documented toxicity and drug-interaction chemistry (the NaOCl-CHX-EDTA precipitate reactions), and real clinical-outcome data for calcium hydroxide's antibacterial efficacy.</w:t>
      </w:r>
    </w:p>
    <w:p>
      <w:r>
        <w:rPr>
          <w:b w:val="0"/>
          <w:i w:val="0"/>
        </w:rPr>
        <w:t>**Audit update**: following a user-requested audit against seven further sources, the outline's own named primary reference for this topic — a dedicated book titled *Endodontic Irrigation* (Basrani, ed.) — was found and extracted (it had been missed initially due to a transient file-access error), along with a second, previously-missed 2017 text, *Current Therapy in Endodontics* (Jain, ed.). Both proved genuinely valuable, together with a **correction**: Ingle's Endodontics Ch.21, initially characterized as "more general" than Cohen's, was re-checked and found to be dense, current, and additive — real named-device and quantified-mechanism content (GentleWave, PIPS laser-activated irrigation, EndoVac apical negative pressure, combination-irrigant chemistry) that Cohen's chapter does not cover at all. Four sources were confirmed additive and incorporated: **Ingle's Endodontics, 7th ed.**, **Endodontic Irrigation** (Basrani, ed. — genuinely the strongest single source found for the newer irrigant-activation devices and for real clinical NaOCl-accident case documentation), **Endodontics** (Gulabivala &amp; Ng, 4th ed. — a step-by-step NaOCl-accident emergency-management protocol), and **Current Therapy in Endodontics** (Jain, ed. — photo-activated disinfection). Harty's Endodontics in Clinical Practice added a calcium hydroxide vehicle-classification scheme, and Endodontic Prognosis added real single- versus multiple-visit outcome data for Ca(OH)2 dressings. Weine's Endodontic Therapy, the Guidebook to Molar Endodontics, and Gulabivala &amp; Ng's Endodontics beyond the accident protocol were checked directly and found to add nothing further beyond what is already covered.</w:t>
      </w:r>
    </w:p>
    <w:p>
      <w:r>
        <w:rPr>
          <w:b w:val="0"/>
          <w:i w:val="0"/>
        </w:rPr>
        <w:t>Citation convention: Cohen's uses the PDF-page fallback `[1, PDF p.X]`, per the convention already established for this book throughout Module 2. Ingle's, Endodontic Irrigation, and Endodontic Prognosis were not locally re-verified for printed pagination and use the PDF-page fallback convention — `[2, PDF p.X]`, `[3, PDF p.X]`, and `[4, PDF p.X]` respectively. Gulabivala &amp; Ng's Endodontics likewise uses the PDF-page fallback convention — `[5, PDF p.X]`. Harty's uses its confirmed offset (marker−16 = printed page) — cited as `[6, p.X]`. Current Therapy in Endodontics uses the PDF-page fallback convention — `[7, PDF p.X]`.</w:t>
      </w:r>
    </w:p>
    <w:p>
      <w:r>
        <w:rPr>
          <w:b w:val="0"/>
          <w:i w:val="0"/>
        </w:rPr>
        <w:t>**DCNA update**: a targeted audit of the project's 179-article DCNA collection against all seven Sub-Module 4 files surfaced one further genuinely additive article — **Guruswamy Pandian AP, Bellani D, Jibu RM, Agnihotri V. "Endodontic Intracanal Medicaments and Agents: The Old and the New, What Is the Evidence?" Dent Clin North Am 2026;70(1):45-62.** A very recent (2026) evidence-focused review supplying real content on newer irrigant-activation modalities, herbal/biomaterial alternatives, and — most valuably — nanoparticle-based antimicrobial agents that are not covered anywhere in this file's existing eight-source treatment. Cited as `[8, p.X]` (real printed pagination 45-62 confirmed as PDF page+44 = printed page, verified via its own running header).</w:t>
      </w:r>
    </w:p>
    <w:p>
      <w:pPr>
        <w:pStyle w:val="Heading2"/>
      </w:pPr>
      <w:r>
        <w:t>4.4 Irrigation &amp; Intracanal Medicaments</w:t>
      </w:r>
    </w:p>
    <w:p>
      <w:pPr>
        <w:pStyle w:val="Heading3"/>
      </w:pPr>
      <w:r>
        <w:t>4.4.1 Irrigation Solutions</w:t>
      </w:r>
    </w:p>
    <w:p>
      <w:r>
        <w:rPr>
          <w:b w:val="0"/>
          <w:i w:val="0"/>
        </w:rPr>
        <w:t>No single irrigant available today satisfies every property of a theoretically ideal irrigating solution — an effective germicide/fungicide that is nonirritating to periapical tissue, stable in solution, active in the presence of blood/serum/protein, capable of fully removing the smear layer while disinfecting the underlying dentinal tubules, and nontoxic, nonantigenic, and noncarcinogenic — which is precisely why endodontic practice relies on a COMBINATION of irrigants used in sequence rather than any single product alone [1, PDF p.948-949].</w:t>
      </w:r>
    </w:p>
    <w:p>
      <w:pPr>
        <w:pStyle w:val="Heading3"/>
      </w:pPr>
      <w:r>
        <w:t>Sodium Hypochlorite (NaOCl)</w:t>
      </w:r>
    </w:p>
    <w:p>
      <w:r>
        <w:rPr>
          <w:b w:val="0"/>
          <w:i w:val="0"/>
        </w:rPr>
        <w:t>NaOCl is the most widely used endodontic irrigant, valued for its antibacterial capacity and its unique ability to rapidly dissolve necrotic tissue, vital pulp tissue, and the organic components of dentin and biofilm — properties no other single irrigant combines. Hypochlorite solution was first produced in France in 1789, used as a buffered 0.5% wound antiseptic ("Dakin's solution") during World War I, and introduced specifically into endodontics by Coolidge in 1919 [1, PDF p.949-950].</w:t>
      </w:r>
    </w:p>
    <w:p>
      <w:r>
        <w:rPr>
          <w:b w:val="0"/>
          <w:i w:val="0"/>
        </w:rPr>
        <w:t>NaOCl's antimicrobial and tissue-dissolving action is not a single reaction but a dynamic balance of five concurrent chemical processes, as characterized by Estrela (2002): (1) a saponification reaction, in which NaOCl degrades fatty acids into soap and glycerol, reducing the remaining solution's surface tension; (2) a neutralization reaction with amino acids, forming water and salt while lowering pH as hydroxyl ions are consumed; (3) formation of hypochlorous acid (HOCl) when chlorine dissolves in water in the presence of organic matter, acting as an oxidizer that degrades and hydrolyzes amino acids; (4) a solvent/chloramination reaction, in which released chlorine combines with protein amino groups to form chloramines, which impede bacterial cell metabolism, with chlorine itself irreversibly oxidizing bacterial sulfhydryl groups to inhibit essential enzymes; and (5) a high-pH effect (NaOCl is a strong base, pH &gt;11), mechanistically similar to calcium hydroxide's own antimicrobial action, disrupting cytoplasmic membrane integrity and producing biosynthetic and phospholipid damage [1, PDF p.950-951].</w:t>
      </w:r>
    </w:p>
    <w:p>
      <w:r>
        <w:rPr>
          <w:b w:val="0"/>
          <w:i w:val="0"/>
        </w:rPr>
        <w:t>True allergic reactions to NaOCl are genuinely unlikely, since both sodium and chlorine are essential physiologic elements and hypochlorous acid itself is a compound the body's own neutrophils produce during phagocytosis — local tissue damage from excess hypochlorous acid (liquefaction necrosis) is a toxicity reaction, not an allergic one, though rare hypersensitivity and contact dermatitis have been reported, and a documented case report describes a severe chemical eye burn in an endodontist from accidental 3.5% NaOCl contact. If NaOCl hypersensitivity is suspected, chlorhexidine should NOT be substituted, since it also contains chlorine — iodine potassium iodide is the recommended alternative irrigant in a genuinely confirmed NaOCl/CHX-sensitive patient [1, PDF p.952].</w:t>
      </w:r>
    </w:p>
    <w:p>
      <w:r>
        <w:rPr>
          <w:b w:val="0"/>
          <w:i w:val="0"/>
        </w:rPr>
        <w:t>Two practically important, evidence-based parameters modulate NaOCl's real-world effectiveness. Raising the solution's temperature meaningfully improves its immediate tissue-dissolution capacity even at low concentration — 0.5% NaOCl heated to 45°C dissolved pulp tissue as effectively as unheated 5.25% NaOCl, and heating to 60°C produced near-complete dissolution — though because irrigant reaches body temperature almost immediately upon entering the canal regardless of how it was preheated, in-situ heating via ultrasonic or sonic activation is the practically achievable route to this benefit, and no clinical (as opposed to laboratory) study yet supports heated NaOCl's real clinical benefit [1, PDF p.952-954]. Concentration itself remains genuinely controversial in the literature: some in-vitro data favor higher concentrations against Enterococcus faecalis and Candida albicans, other clinical data find low and high concentrations equally effective at reducing canal bacteria, and higher concentrations — while more cytotoxic and more erosive to dentin (reduced microhardness, elastic modulus, and flexural strength) — have nonetheless been used clinically with a low complication rate; a high VOLUME of irrigant with frequent exchange can compensate for lower concentration, meaning concentration alone should not be treated as the single lever determining clinical success [1, PDF p.954-955]. Retention time and volume, not concentration alone, are the dominant drivers of NaOCl's antibacterial effect: once organic-matter confounds are eliminated experimentally, NaOCl kills target organisms rapidly even below 0.1% concentration, but in the actual canal environment organic matter continuously consumes and weakens the irrigant's active chlorine (largely within the first 2 minutes of tissue contact) — making continuous replenishment and adequate contact time, not a single high-concentration bolus, the real determinant of effectiveness [1, PDF p.955-956].</w:t>
      </w:r>
    </w:p>
    <w:p>
      <w:pPr>
        <w:pStyle w:val="Heading3"/>
      </w:pPr>
      <w:r>
        <w:t>Chlorhexidine (CHX)</w:t>
      </w:r>
    </w:p>
    <w:p>
      <w:r>
        <w:rPr>
          <w:b w:val="0"/>
          <w:i w:val="0"/>
        </w:rPr>
        <w:t>CHX belongs to the polybisguanide chemical group; its cationic charge lets it bind electrostatically to the negatively charged bacterial cell surface, damaging the outer cell wall layers and rendering the membrane permeable. It is a broad-spectrum agent active against gram-positive and gram-negative bacteria and yeasts, with a concentration-dependent mechanism: at high concentration it acts as a detergent, damaging the cell membrane and precipitating cytoplasm (bactericidal); at low concentration it causes low-molecular-weight intracellular contents (potassium, phosphorus) to leak out without permanently destroying the cell (bacteriostatic) [1, PDF p.959-960].</w:t>
      </w:r>
    </w:p>
    <w:p>
      <w:r>
        <w:rPr>
          <w:b/>
        </w:rPr>
        <w:t xml:space="preserve">DEFINITION — Substantivity: </w:t>
      </w:r>
      <w:r>
        <w:t>CHX's genuinely distinguishing property relative to NaOCl: because of its cationic nature, CHX adsorbs onto dentin and is released gradually over a prolonged period at therapeutic levels, detected in root canal dentin for up to 120 days after application. This residual antimicrobial reservoir effect depends on both concentration and dentin contact time — a mere 5-minute application has been shown NOT to reliably induce substantivity, meaning a rushed final CHX rinse may not achieve the very property that makes CHX clinically distinct from NaOCl in the first place [1, PDF p.960].</w:t>
      </w:r>
    </w:p>
    <w:p>
      <w:r>
        <w:rPr>
          <w:b w:val="0"/>
          <w:i w:val="0"/>
        </w:rPr>
        <w:t>CHX's real clinical limitation, despite this substantivity advantage, is that it entirely lacks NaOCl's ability to dissolve organic tissue — as soon as organic and dental tissue is present (i.e., in an actual clinical canal rather than an in-vitro bacterial suspension), NaOCl is clearly the superior irrigant, and systematic-review evidence has associated ABSTAINING from adding 2% CHX as an adjunct to NaOCl with SUPERIOR periapical healing outcomes — a genuinely counterintuitive finding worth flagging rather than assuming more antimicrobial agents automatically means better outcomes. NaOCl therefore remains the primary irrigating solution in endodontics, with CHX at most a selective adjunct [1, PDF p.962].</w:t>
      </w:r>
    </w:p>
    <w:p>
      <w:r>
        <w:rPr>
          <w:b w:val="0"/>
          <w:i w:val="0"/>
        </w:rPr>
        <w:t>A real, clinically significant interaction hazard exists between these two solutions: NaOCl and CHX react on contact to form a color change and a precipitate, whose severity scales with NaOCl concentration. This precipitate has been chemically characterized as containing parachloroaniline (PCA) — a compound demonstrated to penetrate dentinal tubules and, in humans, toxic even on short-term exposure (producing cyanosis via methemoglobin formation) — and the precipitate itself may also compromise the seal of the final root canal filling. The practical mitigation is to dry the canal thoroughly with paper points BEFORE a final CHX rinse rather than allowing residual NaOCl and CHX to mix directly in the canal. CHX also reacts with EDTA to form a white precipitate (shown to be a CHX-EDTA salt rather than a degradation product of CHX itself), a further reason irrigant sequencing and thorough intermediate rinsing matter clinically, not just theoretically [1, PDF p.962-964].</w:t>
      </w:r>
    </w:p>
    <w:p>
      <w:pPr>
        <w:pStyle w:val="Heading3"/>
      </w:pPr>
      <w:r>
        <w:t>EDTA (Ethylenediaminetetraacetic Acid)</w:t>
      </w:r>
    </w:p>
    <w:p>
      <w:r>
        <w:rPr>
          <w:b/>
        </w:rPr>
        <w:t xml:space="preserve">DEFINITION — EDTA: </w:t>
      </w:r>
      <w:r>
        <w:t>a polyaminocarboxylic acid chelating agent, first synthesized in 1935 and introduced into endodontics in 1957 specifically to aid preparation of narrow, calcified canals. EDTA sequesters di- and trivalent metal ions (notably Ca2+) directly from bacterial cell-envelope proteins and from the mineralized smear layer, binding them into a stable, less-reactive complex — a genuinely self-limiting reaction, since once all locally available metal ions are bound, no further dissolution occurs [1, PDF p.966-968].</w:t>
      </w:r>
    </w:p>
    <w:p>
      <w:r>
        <w:rPr>
          <w:b w:val="0"/>
          <w:i w:val="0"/>
        </w:rPr>
        <w:t>EDTA alone is a poor standalone irrigant: it cannot effectively remove the smear layer's organic component without a proteolytic agent such as NaOCl working alongside it, and has limited independent value as a root-canal irrigation fluid. Used at its standard 17% concentration, brief contact (under 1 minute) removes the mineralized smear layer effectively; leaving EDTA in the canal longer, or following it with NaOCl without an intervening rinse, has been demonstrated to cause genuine dentin erosion — EDTA's self-limiting chemistry does not make it harmless if misused sequentially [1, PDF p.968]. A clinical study by Ng and colleagues found that EDTA use significantly increased the odds of successful RETREATMENT specifically — real evidence connecting a chemical property (smear-layer removal) to a measurable clinical outcome, not merely a laboratory curiosity [1, PDF p.964].</w:t>
      </w:r>
    </w:p>
    <w:p>
      <w:r>
        <w:rPr>
          <w:b w:val="0"/>
          <w:i w:val="0"/>
        </w:rPr>
        <w:t>The standard combination protocol, synthesizing all three agents above: NaOCl serves as the primary irrigant throughout instrumentation for its unmatched tissue-dissolving and disinfecting action; EDTA (or another chelator) is used at the END of preparation specifically to remove the smear layer; and a final 1-minute NaOCl flush follows to maximize cleaning efficiency and minimize the dentin erosion risk of leaving EDTA in contact too long — this specific sequence also minimizes the chemical inactivation reactions described above between these agents [1, PDF p.964-965, 985].</w:t>
      </w:r>
    </w:p>
    <w:p>
      <w:pPr>
        <w:pStyle w:val="Heading3"/>
      </w:pPr>
      <w:r>
        <w:t>Combination Irrigants</w:t>
      </w:r>
    </w:p>
    <w:p>
      <w:r>
        <w:rPr>
          <w:b w:val="0"/>
          <w:i w:val="0"/>
        </w:rPr>
        <w:t>**Added on audit**: NaOCl and EDTA cannot be combined directly without a real reduction in activity, which is precisely why several newer products bundle multiple active ingredients into a single, purpose-designed solution rather than relying on sequential rinses alone. MTAD (a tetracycline-isomer/acid/detergent combination) has a low pH (2.15) from its citric acid content, removes the smear layer, and has real antimicrobial activity — it is less cytotoxic than eugenol, 3% H2O2, Ca(OH)2 paste, or 5.25% NaOCl, but MORE cytotoxic than 2.63% NaOCl, and its manufacturer-recommended pairing with only 1.3% NaOCl during instrumentation may not be strong enough to fully clean uninstrumented canal regions on its own [2, PDF p.579-580]. QMiX (alongside SmearClear/SmearOff) is an EDTA-based smear-layer remover with added antimicrobial activity specifically so the clinician does not need to return to NaOCl after smear-layer removal — a real practical benefit given that re-irrigating with NaOCl after EDTA or citric acid causes significant dentin erosion. QMiX killed all planktonic E. faecalis and plaque bacteria in five seconds (matching 1% NaOCl), while 2% CHX and MTAD failed to kill all plaque bacteria even after 30 seconds; in biofilm models, QMiX and 2% NaOCl killed up to 12 times more bacteria than 1% NaOCl, 2% CHX, or MTAD alone. QMiX also reduces dentin microhardness less than 17% EDTA and is less cytotoxic than 3% NaOCl, 2% CHX, or 17% EDTA in tissue testing [2, PDF p.579]. A genuinely important, directly relevant extension of the PCA-precipitate hazard already established above: although QMiX itself contains a small amount of chlorhexidine, nuclear magnetic resonance spectroscopy confirmed that mixing QMiX with NaOCl does NOT produce the toxic para-chloroaniline (PCA) precipitate that mixing CHX directly with NaOCl does — a real, practical safety advantage for using QMiX as the final chelating rinse instead of plain CHX when NaOCl residue cannot be fully eliminated from the canal beforehand [2, PDF p.579].</w:t>
      </w:r>
    </w:p>
    <w:p>
      <w:pPr>
        <w:pStyle w:val="Heading3"/>
      </w:pPr>
      <w:r>
        <w:t>Emerging Antimicrobial Agents: Nanoparticles, Herbal Agents, and Newer EDTA Modifications</w:t>
      </w:r>
    </w:p>
    <w:p>
      <w:r>
        <w:rPr>
          <w:b w:val="0"/>
          <w:i w:val="0"/>
        </w:rPr>
        <w:t>**Added from a DCNA article**: a genuinely new category of irrigant/medicament chemistry, beyond the combination products already covered above, is nanoparticle-based antimicrobial delivery. Silver nanoparticles (AgNPs) are the most widely studied of these, valued for their ability to penetrate deeper into dentinal tubules and eliminate biofilm than conventional irrigants can — but their real, still-unresolved drawbacks (potential cytotoxicity and tooth discoloration) mean they remain investigational rather than a routine clinical replacement for NaOCl. Chitosan — specifically chitosan oligosaccharide — has shown genuinely higher antimicrobial, antioxidant, and anti-inflammatory activity than several comparator biomaterials; laser-activated irrigation combined with 0.2% chitosan achieved notably better smear-layer removal specifically at the apical third, and chitosan nanoparticles (CNPs) have separately been shown to reduce NaOCl's own harmful (cytotoxic) effects when combined with it — a genuinely useful adjunct role rather than a standalone replacement [8, p.47-48].</w:t>
      </w:r>
    </w:p>
    <w:p>
      <w:r>
        <w:rPr>
          <w:b w:val="0"/>
          <w:i w:val="0"/>
        </w:rPr>
        <w:t>Herbal irrigants are a further, distinct alternative category worth knowing, motivated directly by NaOCl's cytotoxicity risk: eucalyptus extracts, propolis, triphala, aloe vera, and 0.6% carvacrol have all demonstrated real antimicrobial activity against E. faecalis, S. mutans, C. albicans, and Lactobacillus — honestly, none of them match NaOCl's own bactericidal potency, but they are measurably LESS damaging to root dentin microhardness, a genuine trade-off worth knowing about rather than dismissing this category outright [8, p.47].</w:t>
      </w:r>
    </w:p>
    <w:p>
      <w:r>
        <w:rPr>
          <w:b w:val="0"/>
          <w:i w:val="0"/>
        </w:rPr>
        <w:t>Beyond QMiX, several further EDTA modifications are worth knowing specifically for their distinct mechanisms: Tetraclean (a citric-acid-based irrigant, distinct from MTAD) shows real antimicrobial substantivity against E. faecalis in infected dentin and a lower surface tension giving better tubule penetration than MTAD or QMiX, positioning it as a genuine final-rinse candidate. EDTA combined with cetyltrimethylammonium bromide (EDTAC) achieves optimal smear-layer dissolution and improves dentin wettability for subsequent sealer adhesion, though its dentin-eroding effect is genuinely TIME-dependent — brief exposure causes negligible erosion, but prolonged irrigation degrades collagen and measurably reduces dentin hardness, making exposure duration a real clinical variable to control rather than a fixed protocol. Nisin-incorporated EDTA (N-EDTA) is a newer, still-emerging modification with cytocompatibility comparable to MTAD, combining smear-layer removal with genuinely enhanced antibacterial and antibiofilm activity — a promising but not yet fully-established alternative [8, p.48].</w:t>
      </w:r>
    </w:p>
    <w:p>
      <w:r>
        <w:rPr>
          <w:b w:val="0"/>
          <w:i w:val="0"/>
        </w:rPr>
        <w:t>**Added from a DCNA article**: a further laser-activation modality beyond the PIPS technology already covered above is worth naming — shock wave enhanced emission photoacoustic streaming (SWEEPS) — which specifically allows NaOCl to be used at a LOWER concentration without sacrificing its antimicrobial effect, directly addressing the concentration-versus-cytotoxicity tension already established in 4.4.1. Both PIPS and photodynamic therapy (PDT) activation enhance NaOCl's penetration into dentinal tubules and its bactericidal potency; all of these light-activated techniques show negligible apical extrusion (reinforcing the safety case already made for laser-activated irrigation above), and postoperative pain has been found to be genuinely lower with laser activation than with manual dynamic activation specifically [8, p.47].</w:t>
      </w:r>
    </w:p>
    <w:p>
      <w:pPr>
        <w:pStyle w:val="Heading3"/>
      </w:pPr>
      <w:r>
        <w:t>4.4.2 Irrigation Technique &amp; Delivery</w:t>
      </w:r>
    </w:p>
    <w:p>
      <w:r>
        <w:rPr>
          <w:b w:val="0"/>
          <w:i w:val="0"/>
        </w:rPr>
        <w:t>Conventional syringe-and-needle delivery allows precise placement, continuous replenishment of fresh irrigant, and mechanical flushing of larger debris particles — but its real physical reach is limited: in passive syringe irrigation, actual fluid exchange is confined to roughly 1 to 1.5mm apical to the needle tip itself, meaning the needle's diameter and how close it can safely be placed to working length directly determine whether the apical third of the canal is actually being irrigated at all, not merely bathed from a distance. This creates a genuine design tension: a larger-gauge needle delivers a faster, larger volume of fluid but is too wide to reach the narrower apical and coronal-to-apical portions of the canal, while a needle placed too close to working length risks binding and irrigant extrusion into the periapical tissues if backflow is obstructed — a risk that is genuinely elevated in immature teeth with a wide-open apex or any tooth where the apical constriction has been lost. Open-ended needle tips are recommended over closed-end designs specifically to reduce this extrusion risk [1, PDF p.985-986].</w:t>
      </w:r>
    </w:p>
    <w:p>
      <w:r>
        <w:rPr>
          <w:b w:val="0"/>
          <w:i w:val="0"/>
        </w:rPr>
        <w:t>**Added on audit**: the physics behind this 1-1.5mm exchange-radius figure has been measured directly with computational fluid dynamics (CFD) modeling, and the actual apical pressures involved are worth stating in real numbers rather than a general caution. Different research groups, using different flow rates and needle designs, have reported apical pressures from a beveled open-ended needle at 3mm from working length ranging from roughly 1.7 to 18 kPa (13 to 135 mmHg) — an order-of-magnitude discrepancy explained mostly by flow rate and needle geometry, not by any single "correct" answer. For context, average human capillary pressure is about 25 mmHg (3.3 kPa), and one group has proposed human central venous pressure (5.88 mmHg) as a plausible upper safety limit for irrigation pressure. A side-vented, closed-end needle design generates statistically significantly LOWER apical pressure than a blunt open-ended needle at the same flow rate and distance — a real, quantified reason to prefer that needle design specifically when working close to the apex. Separately, the irrigant clearance zone beyond the needle tip (how far irrigant actually penetrates past where the needle sits) plateaus at flow rates above roughly 5mL/min — pushing flow rate higher past that point increases apical PRESSURE without any further gain in how far the irrigant actually reaches [2, PDF p.652-653].</w:t>
      </w:r>
    </w:p>
    <w:p>
      <w:pPr>
        <w:pStyle w:val="Heading3"/>
      </w:pPr>
      <w:r>
        <w:t>Apical Negative-Pressure Irrigation (EndoVac)</w:t>
      </w:r>
    </w:p>
    <w:p>
      <w:r>
        <w:rPr>
          <w:b w:val="0"/>
          <w:i w:val="0"/>
        </w:rPr>
        <w:t>**Added on audit**: apical negative-pressure irrigation inverts the conventional approach entirely — rather than pushing irrigant apically under positive pressure through a needle, the EndoVac system delivers irrigant coronally while simultaneously SUCTIONING it from deep within the canal, drawing fresh solution passively to the apex rather than forcing it there. The system uses three parts: a Master Delivery Tip that simultaneously delivers irrigant through a 20-gauge needle and evacuates overflow from the chamber; a macrocannula drawing irrigant from the chamber through the coronal/middle canal by suction; and a microcannula reaching to within about 1mm of working length to suction irrigant directly from the apical region — designed specifically to overcome the well-documented difficulty of delivering and replenishing irrigant at the apical third by conventional syringe methods [3, PDF p.158-159].</w:t>
      </w:r>
    </w:p>
    <w:p>
      <w:r>
        <w:rPr>
          <w:b w:val="0"/>
          <w:i w:val="0"/>
        </w:rPr>
        <w:t>Direct pressure measurement confirms the mechanistic promise: unlike positive-pressure syringe irrigation, which generates a flow-rate-dependent INCREASE in apical pressure, apical negative-pressure irrigation generated NO positive pressure at all, even with the cannula placed at full working length — directly confirming its safety rationale rather than merely asserting it. Extrusion studies corroborate this: the EndoVac's microcannula and macrocannula extruded zero irrigant even at full working length, compared with measurable extrusion for manual syringe and ultrasonic techniques, and this translated into a real clinical outcome — one study found significantly LESS postoperative pain in patients treated with EndoVac versus positive-pressure syringe irrigation. On debridement effectiveness, results are more mixed: some studies find EndoVac removes significantly more debris than conventional syringe irrigation only in the apical 1-1.5mm (not at 3mm), while antimicrobial efficacy is generally reported as comparable to, rather than clearly superior to, syringe irrigation combined with sonic agitation [2, PDF p.653-654].</w:t>
      </w:r>
    </w:p>
    <w:p>
      <w:pPr>
        <w:pStyle w:val="Heading3"/>
      </w:pPr>
      <w:r>
        <w:t>Manual Dynamic Activation (MDA)</w:t>
      </w:r>
    </w:p>
    <w:p>
      <w:r>
        <w:rPr>
          <w:b w:val="0"/>
          <w:i w:val="0"/>
        </w:rPr>
        <w:t>**Added on audit**: a genuinely low-cost, equipment-free alternative to sonic/ultrasonic/negative-pressure activation is manual dynamic activation (MDA) — moving a well-fitting gutta-percha master cone in and out of the canal by hand to generate hydrodynamic agitation of the irrigant already in place. The in-and-out stroke generates intracanal pressure changes that help dislodge the apical vapor lock, and the resulting turbulence enhances irrigant mixing and diffusion via shear stress; a thin reflux space between the cone and canal wall is essential for this hydrodynamic effect to actually occur. MDA has been shown significantly more effective at removing stained collagen from canal walls than static (unagitated) irrigation, and outperformed the RinsEndo hydrodynamic device in at least one comparative study, though results against apical negative pressure (EndoVac) are more mixed — MDA's debridement is adversely affected by a sealed (closed) apical foramen in a way that ANP's is not, and a comparative study in mesial roots of mandibular first molars with narrow isthmi found ANP removed more isthmus debris than MDA, though NEITHER technique fully cleared the isthmus region [3, PDF p.151-152].</w:t>
      </w:r>
    </w:p>
    <w:p>
      <w:r>
        <w:rPr>
          <w:b/>
        </w:rPr>
        <w:t xml:space="preserve">DEFINITION — Apical vapor lock: </w:t>
      </w:r>
      <w:r>
        <w:t>a pocket of gas (air or reaction byproducts) trapped at the apical terminus of a canal during irrigation, which can mechanically prevent fresh irrigant from actually reaching the true canal terminus regardless of how much irrigant is delivered coronally — the specific physical problem that agitation techniques such as MDA, sonic, and ultrasonic activation are all, in part, designed to dislodge [3, PDF p.152].</w:t>
      </w:r>
    </w:p>
    <w:p>
      <w:r>
        <w:rPr>
          <w:b w:val="0"/>
          <w:i w:val="0"/>
        </w:rPr>
        <w:t>**Added on audit**: newer, more technologically involved activation methods are worth knowing as the current frontier of irrigant delivery, even though none has yet displaced sonic/ultrasonic activation as the clinical standard. Photon-Induced Photoacoustic Streaming (PIPS) uses an Erbium (2940nm) laser to pulse extremely low energy levels of light, generating a photoacoustic shockwave throughout the canal system WITHOUT the tip ever entering the canals themselves — it is placed in the pulp chamber only. Comparative data are genuinely real and specific: PIPS increased debris removal 2.6-fold over standard needle irrigation, 5.25% NaOCl combined with an Er:YAG laser dissolved roughly 50% more pulp tissue than NaOCl alone, and PIPS specifically added about 20% more tissue dissolution than NaOCl alone; PIPS also outperformed needle, sonic, and ultrasonic irrigation specifically at removing Ca(OH)2 residue from artificial grooves [2, PDF p.656-657]. GentleWave (Sonendo) is a distinct, more recent technology using wide-spectrum sound energy far beyond the ultrasonic range, combined with a closed-system negative-pressure circuit: high-speed degassed irrigant is delivered through a handpiece placed in the pulp chamber and simultaneously suctioned back through small holes in the same handpiece, maintaining stable negative pressure throughout the canal system. In a striking finding, even plain WATER dissolved organic tissue as effectively as 2% NaOCl with ultrasonic activation when delivered through this system — strongly suggesting a genuine cavitation effect rather than chemistry alone — and overall tissue dissolution was up to 8 times FASTER than conventional 6% NaOCl with ultrasound; a separate study found GentleWave was the only system tested that completely removed calcium hydroxide from molar canals, where syringe-needle irrigation (with or without ultrasound) always left some residue, particularly apically [2, PDF p.657]. Photo-activated disinfection (PAD) — using a photosensitizing dye such as methylene blue or tolonium chloride, activated by light of a specific wavelength to generate cytotoxic singlet oxygen and free radicals — is a further, distinct disinfection modality effective against bacteria, viruses, fungi, and protozoa alike; one study found methylene blue dye alone killed only 53% of an E. faecalis biofilm, but combining it with red-light activation (true PAD) raised bacterial elimination to 97% [7, PDF p.135].</w:t>
      </w:r>
    </w:p>
    <w:p>
      <w:pPr>
        <w:pStyle w:val="Heading3"/>
      </w:pPr>
      <w:r>
        <w:t>Managing a Sodium Hypochlorite Accident</w:t>
      </w:r>
    </w:p>
    <w:p>
      <w:r>
        <w:rPr>
          <w:b w:val="0"/>
          <w:i w:val="0"/>
        </w:rPr>
        <w:t>**Added on audit**: NaOCl's extrusion risk, already flagged above, deserves a real clinical-management protocol rather than an abstract caution, since this is a genuine dental emergency the treating clinician must be able to recognize and manage immediately. A hypochlorite accident presents with a sudden, sharp pain DESPITE effective anesthesia, immediate soft-tissue swelling, and often profuse bleeding through the canal — alarming to both patient and clinician, and more likely in the maxilla (where the apex may be naturally fenestrated through overlying bone, or communicate with the maxillary sinus) than the mandible. Immediate management: wash the canal with sterile water, administer analgesia, and monitor the tooth over the following 30 minutes (bloody exudate is expected; drainage should be encouraged). Cold compresses for the first 6 hours limit pain and swelling, followed by warm compresses to support healthy healing; corticosteroids help limit swelling further, and antibiotics should be considered in more serious cases at genuine infection risk. The patient should be warned in advance that visible bruising and swelling are expected. Comparative extrusion data by delivery method reinforce the technique choices above: the EndoVac (negative pressure) showed no extrusion in testing, EndoActivator (sonic) minimal extrusion, and manual dynamic irrigation, automated RinsEndo delivery, and active ultrasonic irrigation all showed significantly MORE extrusion — a direct, practical reason to prefer negative-pressure or sonic activation specifically in any case where apical anatomy is uncertain or already compromised [5, PDF p.278-279].</w:t>
      </w:r>
    </w:p>
    <w:p>
      <w:r>
        <w:rPr>
          <w:b w:val="0"/>
          <w:i w:val="0"/>
        </w:rPr>
        <w:t>Because most unshaped or minimally shaped canal regions remain too narrow for a needle-delivered irrigant to reach effectively regardless of needle design, active AGITATION of the irrigant already placed in the canal is what actually drives it into these otherwise inaccessible recesses. Sonic activation (the EndoActivator System, using noncutting polymer tips oscillating at 1500-6000Hz) and ultrasonic activation (oscillating at frequencies above 20,000Hz, historically introduced to endodontics by Richman) both significantly outperform plain manual syringe irrigation for canal-wall cleanliness, and the majority of comparative studies favor ultrasonic over sonic activation specifically, attributable to the higher-frequency oscillation inducing genuine acoustic streaming and cavitation effects in the irrigant that sonic frequencies do not achieve as strongly [1, PDF p.987-988].</w:t>
      </w:r>
    </w:p>
    <w:p>
      <w:r>
        <w:rPr>
          <w:b/>
        </w:rPr>
        <w:t xml:space="preserve">DEFINITION — Passive ultrasonic irrigation (PUI): </w:t>
      </w:r>
      <w:r>
        <w:t>ultrasonic activation of the irrigant WITHOUT the file simultaneously contacting and mechanically cutting the canal wall, distinguished from ultrasonic instrumentation (UI), in which the file is intentionally kept in contact with the canal wall as it oscillates. Because canal anatomy is never perfectly round, UI can never contact the entire canal wall simultaneously in any case, which is part of why PUI — agitating the irrigant itself rather than relying on file-to-wall contact — has become the more widely adopted approach for irrigant activation specifically [1, PDF p.988].</w:t>
      </w:r>
    </w:p>
    <w:p>
      <w:r>
        <w:rPr>
          <w:b w:val="0"/>
          <w:i w:val="0"/>
        </w:rPr>
        <w:t>A comparative safety study measuring apical extrusion across several activation systems found the EndoActivator produced a statistically insignificant amount of extruded irrigant compared with manual syringe, ultrasonic, and Rinsendo-system irrigation — a genuinely reassuring safety finding for sonic activation specifically, worth weighing against ultrasonic's generally superior wall-cleanliness data when choosing an activation method for a given case [1, PDF p.987].</w:t>
      </w:r>
    </w:p>
    <w:p>
      <w:pPr>
        <w:pStyle w:val="Heading3"/>
      </w:pPr>
      <w:r>
        <w:t>4.4.3 Intracanal Medicaments</w:t>
      </w:r>
    </w:p>
    <w:p>
      <w:pPr>
        <w:pStyle w:val="Heading3"/>
      </w:pPr>
      <w:r>
        <w:t>Calcium Hydroxide</w:t>
      </w:r>
    </w:p>
    <w:p>
      <w:r>
        <w:rPr>
          <w:b w:val="0"/>
          <w:i w:val="0"/>
        </w:rPr>
        <w:t>Calcium hydroxide, introduced into endodontics by Hermann in 1920, remains the most widely used interappointment intracanal medicament, though the strength of its evidence base is more nuanced than its popularity suggests. Early studies promoted its antibacterial efficacy and drove widespread adoption, but more recent clinical studies and systematic reviews have failed to demonstrate a clear additional benefit for eliminating canal bacteria beyond what irrigation alone achieves. Mechanistically, Ca(OH)2 is a slow-acting antiseptic — in-vitro data show a full 24-hour direct-contact period is needed to completely kill enterococci — yet one clinical study of 42 patients found that where NaOCl irrigation alone reduced canal bacterial load by only 61.9%, adding a 1-week Ca(OH)2 interappointment dressing achieved a 92.5% reduction, supporting its use specifically in genuinely infected cases rather than as a routine step in every case [1, PDF p.976-977].</w:t>
      </w:r>
    </w:p>
    <w:p>
      <w:r>
        <w:rPr>
          <w:b w:val="0"/>
          <w:i w:val="0"/>
        </w:rPr>
        <w:t>**Added on audit**: since Ca(OH)2's antibacterial action depends on its high pH — which in turn depends on how readily it dissociates into calcium and hydroxyl ions — the choice of VEHICLE the powder is mixed with genuinely matters, not merely as a matter of consistency. Vehicles are classified by consistency into aqueous, viscous, and oily forms, with aqueous vehicles permitting the rapid ionic dissociation the medicament needs to work; viscous and oily vehicles are genuinely questionable choices, since they impede rapid hydroxyl-ion release and may therefore blunt the medicament's actual effect. A second, independent classification splits vehicles into inert (distilled water, saline, anesthetic solution, glycerine — biocompatible but adding no antimicrobial benefit of their own) and biologically active (camphorated paramonochlorophenol, chlorhexidine, iodine potassium iodide — genuinely enhancing the antimicrobial effect beyond the Ca(OH)2 alone) [6, p.135].</w:t>
      </w:r>
    </w:p>
    <w:p>
      <w:r>
        <w:rPr>
          <w:b w:val="0"/>
          <w:i w:val="0"/>
        </w:rPr>
        <w:t>**Added on audit**: whether Ca(OH)2's benefit justifies routinely extending treatment to two or more visits remains a genuinely unresolved question rather than a settled one. A single large study by one operator found a significantly higher success rate in infected teeth treated in two or more visits with an interappointment Ca(OH)2 dressing compared with a single visit, and this pattern (a 10-20% success-rate increase for multi-visit treatment) has been replicated in several further studies — but other, equally well-conducted studies have found virtually no difference, or even a roughly 10% success advantage for SINGLE-visit treatment instead. The most likely explanation for this genuine inconsistency is that much of the available data is underpowered for a definitive conclusion either way, meaning single- versus multi-visit treatment should be considered clinician/case judgment territory rather than a resolved evidence-based rule [4, PDF p.138].</w:t>
      </w:r>
    </w:p>
    <w:p>
      <w:r>
        <w:rPr>
          <w:b w:val="0"/>
          <w:i w:val="0"/>
        </w:rPr>
        <w:t>Beyond direct antibacterial action, Ca(OH)2 has a genuinely distinct and clinically valuable secondary mechanism: it hydrolyzes the lipid moiety of bacterial lipopolysaccharide (LPS/endotoxin), inactivating its biologic activity — meaningful because dead bacterial cell-wall material continues to provoke periradicular inflammation even after the bacteria themselves are killed, so LPS neutralization addresses a source of ongoing inflammatory stimulation that antibacterial killing alone does not [1, PDF p.977]. Clinically, Ca(OH)2 powder is mixed with sterile water or saline (water is required as the vehicle, since the compound needs water to dissociate into its active Ca2+ and OH- ions) into a thick, non-overdried paste, delivered with a lentulo spiral or a prefilled single-dose syringe system, and packed homogeneously to full working length with radiographic confirmation. It is a strong base capable of causing genuine, irreversible tissue injury if mishandled — extrusion through the apex risks reaching the maxillary sinus or mandibular canal with nerve-damage potential, and ocular contact can cause blindness, making careful handling a genuine safety issue rather than a theoretical caution [1, PDF p.977-978].</w:t>
      </w:r>
    </w:p>
    <w:p>
      <w:r>
        <w:rPr>
          <w:b w:val="0"/>
          <w:i w:val="0"/>
        </w:rPr>
        <w:t>Ca(OH)2's real limitations deserve equal weight to its benefits rather than being treated as a footnote: complete removal from the canal is frequently NOT achieved, leaving residue on 20% to 45% of canal wall surfaces even after copious follow-up irrigation, and this residue can shorten the setting time of zinc-oxide-eugenol sealers and compromise the final obturation seal. More fundamentally, Ca(OH)2 is not effective against several clinically important endodontic pathogens, notably E. faecalis and C. albicans, and dentin itself can inactivate its antibacterial activity in vitro — one clinical study even found the number of bacteria-POSITIVE canals INCREASED after Ca(OH)2 medication in some cases. The best-available evidence therefore supports a more measured conclusion than "calcium hydroxide sterilizes the canal": it has real but genuinely limited effectiveness at eliminating culturable bacteria, which is why the search for better interappointment antibacterial protocols remains an active area rather than a solved problem [1, PDF p.978-979].</w:t>
      </w:r>
    </w:p>
    <w:p>
      <w:pPr>
        <w:pStyle w:val="Heading3"/>
      </w:pPr>
      <w:r>
        <w:t>Chlorhexidine Gel/Paste as Intracanal Medicament</w:t>
      </w:r>
    </w:p>
    <w:p>
      <w:r>
        <w:rPr>
          <w:b w:val="0"/>
          <w:i w:val="0"/>
        </w:rPr>
        <w:t>As an intracanal medicament rather than an irrigant, CHX shows at least equivalent — and in some in-vitro comparisons superior — antimicrobial efficacy to Ca(OH)2, including effective elimination of an established E. faecalis biofilm, and its substantivity (described in 4.4.1) gives it a genuine theoretical advantage: prolonged antimicrobial activity retained in the dentin itself, independent of whether it is applied as a liquid, gel, or controlled-release device. In vivo, it reduces canal bacterial counts as effectively as Ca(OH)2 over a comparable 1-week application. However, the evidence supporting CHX as a full REPLACEMENT for Ca(OH)2 is still predominantly in-vitro and animal-derived, with the specific limitation that dentin itself can partially inactivate antibacterial medicaments in contact with it (an effect that fully abolishes Ca(OH)2's activity but only partially reduces CHX's and NaOCl's) — meaning the in-vitro promise of CHX as an intracanal medicament has not yet been matched by an equivalent volume of confirmatory human clinical evidence [1, PDF p.979-980].</w:t>
      </w:r>
    </w:p>
    <w:p>
      <w:pPr>
        <w:pStyle w:val="Heading3"/>
      </w:pPr>
      <w:r>
        <w:t>Corticosteroid-Antibiotic Combination Pastes</w:t>
      </w:r>
    </w:p>
    <w:p>
      <w:r>
        <w:rPr>
          <w:b w:val="0"/>
          <w:i w:val="0"/>
        </w:rPr>
        <w:t>Ledermix (triamcinolone acetonide, a potent corticoid, combined with the broad-spectrum antibiotic demeclocycline) is a commercially available nonsetting paste developed around 1960, popularly used in some countries as an initial dressing specifically when a patient presents with acute endodontic symptoms, for the rapid pain relief it provides in acute pulpal/periodontal inflammation. Mechanistically it inhibits bacterial ribosomal protein synthesis, and the triamcinolone component is genuinely released and diffuses systemically through the dentinal tubules, lateral canals, and apical foramen — not a purely local effect. In an animal replantation model, teeth treated with Ledermix (or its individual components) showed more favorable healing and greater remaining root structure than untreated controls, suggesting a genuine root-resorption-inhibiting property relevant to trauma cases specifically [1, PDF p.983-984].</w:t>
      </w:r>
    </w:p>
    <w:p>
      <w:pPr>
        <w:pStyle w:val="Heading3"/>
      </w:pPr>
      <w:r>
        <w:t>Antibiotic Pastes (Double/Triple Antibiotic Paste)</w:t>
      </w:r>
    </w:p>
    <w:p>
      <w:r>
        <w:rPr>
          <w:b w:val="0"/>
          <w:i w:val="0"/>
        </w:rPr>
        <w:t>Combined antibiotic pastes — the triple-antibiotic paste (TAP: metronidazole, ciprofloxacin, and minocycline) and a double-antibiotic variant (DAP: metronidazole and ciprofloxacin, omitting minocycline) — have been studied primarily as an intracanal disinfection regimen for REGENERATIVE endodontic procedures in immature teeth, a topic this sub-module cross-references rather than duplicates, since it belongs properly to the future Vital Pulp Therapy &amp; Regenerative Endodontics sub-module. TAP was shown effective against E. coli-infected dentin and against microbes recovered from carious dentin and infected pulp in vitro, and clinical effectiveness has been reported for disinfecting immature teeth with apical periodontitis before regenerative treatment. Minocycline's real, well-documented drawback is tooth discoloration — the specific reason the double-antibiotic (minocycline-omitting) variant exists as an alternative — and broader concerns persist about antibiotic resistance, in-vitro toxicity to stem cells from paste prepared directly from antibiotic powder, and possible patient allergic reaction, all of which have led some clinicians to abandon the antibiotic-paste protocol in favor of Ca(OH)2 for this indication instead. With current evidence, whether either paste reliably works against genuinely multispecies biofilms — the actual clinical scenario, rather than a single-species laboratory model — remains unresolved [1, PDF p.984-985].</w:t>
      </w:r>
    </w:p>
    <w:p>
      <w:pPr>
        <w:pStyle w:val="Heading3"/>
      </w:pPr>
      <w:r>
        <w:t>Emerging Medicament Categories: Nanoparticle-Enhanced and Bioceramic-Integrated Agents</w:t>
      </w:r>
    </w:p>
    <w:p>
      <w:r>
        <w:rPr>
          <w:b w:val="0"/>
          <w:i w:val="0"/>
        </w:rPr>
        <w:t>**Added from a DCNA article**: nanoparticle technology has begun extending beyond irrigant activation (4.4.1) into the intracanal medicament itself. Calcium hydroxide encapsulated within poly-lactic-co-glycolic acid (PLGA) nanoparticles shows genuinely greater antimicrobial activity than conventional Ca(OH)2 — attributable to sustained release of Ca2+ ions and deeper penetration into dentinal tubules — and has the further, genuinely distinct advantage of inhibiting osteoclastic differentiation, making PLGA-encapsulated Ca(OH)2 a promising medicament specifically for managing root resorption, a clinical scenario conventional Ca(OH)2 does not specifically address. Ciprofloxacin encapsulated in PLGA has separately been shown to produce faster healing than the same antibiotic used alone. Silver nanoparticles (AgNPs), already introduced as an irrigant candidate in 4.4.1, may in fact be MORE suited to use as an intracanal medicament than as an irrigant specifically, since their antibacterial effectiveness depends directly on contact time — the longer dwell time of a medicament left between appointments favors their mechanism more than a brief irrigation exposure would; AgNPs have also been shown to enhance the anti-inflammatory, antioxidant, and antibiofilm properties of Ca(OH)2 when combined with it [8, p.54-55].</w:t>
      </w:r>
    </w:p>
    <w:p>
      <w:r>
        <w:rPr>
          <w:b w:val="0"/>
          <w:i w:val="0"/>
        </w:rPr>
        <w:t>This nanoparticle-enhancement logic extends to sealers too, worth cross-referencing to Sub-Module 4.5: incorporating AgNPs into root canal sealers has been shown to augment the antimicrobial properties of both Ca(OH)2-containing sealers and MTA/Portland-cement-based materials, a genuinely current direction for sealer development beyond the bioceramic chemistry already covered in 4.5.2 [8, p.55].</w:t>
      </w:r>
    </w:p>
    <w:p>
      <w:pPr>
        <w:pStyle w:val="Heading1"/>
      </w:pPr>
      <w:r>
        <w:t>References</w:t>
      </w:r>
    </w:p>
    <w:p>
      <w:r>
        <w:rPr>
          <w:b w:val="0"/>
          <w:i w:val="0"/>
        </w:rPr>
        <w:t>[1] Cohen S, Hargreaves KM, Berman LH, eds. Cohen's Pathways of the Pulp, 12th ed. St. Louis: Elsevier; 2021. Ch.8, "Cleaning and Shaping the Root Canal System."</w:t>
      </w:r>
    </w:p>
    <w:p>
      <w:r>
        <w:rPr>
          <w:b w:val="0"/>
          <w:i w:val="0"/>
        </w:rPr>
        <w:t>[2] Ingle JI, Bakland LK, Baumgartner JC, eds. Ingle's Endodontics, 7th ed. Raleigh: PMPH-USA; 2019. Ch.21, "Irrigants and Intracanal Medicaments."</w:t>
      </w:r>
    </w:p>
    <w:p>
      <w:r>
        <w:rPr>
          <w:b w:val="0"/>
          <w:i w:val="0"/>
        </w:rPr>
        <w:t>[3] Basrani B, ed. Endodontic Irrigation: Chemical Disinfection of the Root Canal System. Cham: Springer; 2015.</w:t>
      </w:r>
    </w:p>
    <w:p>
      <w:r>
        <w:rPr>
          <w:b w:val="0"/>
          <w:i w:val="0"/>
        </w:rPr>
        <w:t>[4] Chugal N, Lin LM, eds. Endodontic Prognosis: Clinical Guide for Optimal Treatment Outcome. Cham: Springer; 2017.</w:t>
      </w:r>
    </w:p>
    <w:p>
      <w:r>
        <w:rPr>
          <w:b w:val="0"/>
          <w:i w:val="0"/>
        </w:rPr>
        <w:t>[5] Gulabivala K, Ng Y-L. Endodontics, 4th ed. Edinburgh: Mosby Elsevier; 2014.</w:t>
      </w:r>
    </w:p>
    <w:p>
      <w:r>
        <w:rPr>
          <w:b w:val="0"/>
          <w:i w:val="0"/>
        </w:rPr>
        <w:t>[6] Berman LH, Hargreaves KM, et al. Harty's Endodontics in Clinical Practice, 7th ed. Edinburgh: Elsevier; 2021. Ch.8, "Intracanal Medication."</w:t>
      </w:r>
    </w:p>
    <w:p>
      <w:r>
        <w:rPr>
          <w:b w:val="0"/>
          <w:i w:val="0"/>
        </w:rPr>
        <w:t>[7] Jain P, ed. Current Therapy in Endodontics. Ames: Wiley-Blackwell; 2017.</w:t>
      </w:r>
    </w:p>
    <w:p>
      <w:r>
        <w:rPr>
          <w:b w:val="0"/>
          <w:i w:val="0"/>
        </w:rPr>
        <w:t>[8] Guruswamy Pandian AP, Bellani D, Jibu RM, Agnihotri V. Endodontic Intracanal Medicaments and Agents: The Old and the New, What Is the Evidence? Dent Clin North Am 2026;70(1):45-62.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