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4.6: Nonsurgical Endodontic Retreatment</w:t>
      </w:r>
    </w:p>
    <w:p>
      <w:r>
        <w:rPr>
          <w:b/>
          <w:i w:val="0"/>
        </w:rPr>
        <w:t>Module 2 — Endodontics, Sub-Module 4: Nonsurgical Endodontic Treatment</w:t>
      </w:r>
    </w:p>
    <w:p>
      <w:pPr>
        <w:pStyle w:val="Heading1"/>
      </w:pPr>
      <w:r>
        <w:t>Note on Sources</w:t>
      </w:r>
    </w:p>
    <w:p>
      <w:r>
        <w:rPr>
          <w:b w:val="0"/>
          <w:i w:val="0"/>
        </w:rPr>
        <w:t>Built from one primary source. Cohen's Pathways of the Pulp, 12th ed., Ch.10 "Nonsurgical Retreatment" (Roda, Gettleman, Johnson) is a genuinely dedicated, comprehensive retreatment chapter that substantially exceeds the outline's own brief bullet-point treatment — a real four-category framework for the biological causes of posttreatment disease, quantified instrument-separation incidence rates, a detailed material-specific technique for re-entry through existing crowns (including zirconia- and porcelain-specific bur selection), and a genuine step-by-step gutta-percha removal protocol with real solvent pharmacology.</w:t>
      </w:r>
    </w:p>
    <w:p>
      <w:r>
        <w:rPr>
          <w:b w:val="0"/>
          <w:i w:val="0"/>
        </w:rPr>
        <w:t>**Audit update**: following a user-requested audit against seven further sources, this file was found to have four genuine structural gaps — Cohen's own chapter, despite its overall depth, omits silver-point removal, paste/Sargenti-N2 retreatment, solid-core (Thermafil-type) removal, and perforation repair entirely, all four of which are covered in real depth elsewhere. Four sources were confirmed additive and incorporated: **The Guidebook to Molar Endodontics, 2nd ed.** (Peters, ed.) — a comprehensive, well-organized perforation-repair framework (Berutti &amp; Castellucci) and a real silver-point removal technique, plus quantified retreatment-outcome data (Salehrabi, Fristad, Torabinejad) not previously in this file; **Weine's Endodontic Therapy, 6th ed.** — the only source found with a genuine historical/clinical account of the Sargenti N2 technique and the reasons American endodontists opposed it; **Endodontics** (Gulabivala &amp; Ng, 4th ed.) — a concrete solid-core (Thermafil) removal technique, corroborating confirmation that N2/Russian Red cement has no available solvent, and pooled retreatment-outcome data; and **Endodontic Prognosis: Clinical Guide for Optimal Treatment Outcome** (Chugal &amp; Lin, eds.) — decision-pathway framing situating retreatment relative to surgery. Ingle's Endodontics and Harty's Endodontics in Clinical Practice were checked directly and corroborate this content (Harty's specifically for a complementary solvent-based Thermafil-removal protocol and a soft-paste-versus-hard-resin-sealer retreatment-difficulty distinction) without requiring separate primary citation beyond what the four sources above already establish. Current Therapy in Endodontics was checked directly and found to add only a minor named rotary-retreatment-file mention (Mtwo R, XR Retreatment Files), incorporated briefly below.</w:t>
      </w:r>
    </w:p>
    <w:p>
      <w:r>
        <w:rPr>
          <w:b w:val="0"/>
          <w:i w:val="0"/>
        </w:rPr>
        <w:t>Citation convention: Cohen's uses the PDF-page fallback `[1, PDF p.X]`, per the convention already established for this book throughout Module 2. The Guidebook to Molar Endodontics, Weine's Endodontic Therapy, Gulabivala &amp; Ng's Endodontics, and Endodontic Prognosis were not locally re-verified for printed pagination and use the PDF-page fallback convention — `[2, PDF p.X]`, `[3, PDF p.X]`, `[4, PDF p.X]`, and `[5, PDF p.X]` respectively.</w:t>
      </w:r>
    </w:p>
    <w:p>
      <w:pPr>
        <w:pStyle w:val="Heading2"/>
      </w:pPr>
      <w:r>
        <w:t>4.6 Nonsurgical Endodontic Retreatment</w:t>
      </w:r>
    </w:p>
    <w:p>
      <w:pPr>
        <w:pStyle w:val="Heading3"/>
      </w:pPr>
      <w:r>
        <w:t>4.6.1 Indications and Case Selection for Retreatment</w:t>
      </w:r>
    </w:p>
    <w:p>
      <w:r>
        <w:rPr>
          <w:b/>
        </w:rPr>
        <w:t xml:space="preserve">DEFINITION — Posttreatment disease: </w:t>
      </w:r>
      <w:r>
        <w:t>the preferred modern term (proposed by Friedman) for what was previously called endodontic "failure" — a deliberate terminology shift, since "failure" is a negative, relative term that does not itself imply the need to pursue further treatment, whereas "disease" fits naturally into the same disease-treatment-healing framework patients already understand from the rest of their dental and medical care. With approximately 22.3 million root canal procedures performed annually and success rates generally cited between 86% and 98%, even a small percentage of posttreatment disease translates into a very large absolute number of teeth requiring further management [1, PDF p.1191-1192].</w:t>
      </w:r>
    </w:p>
    <w:p>
      <w:r>
        <w:rPr>
          <w:b w:val="0"/>
          <w:i w:val="0"/>
        </w:rPr>
        <w:t>For treatment-planning purposes, Cohen's organizes the biological causes of posttreatment disease into four categories, and recognizing which one applies to a given case directly determines whether nonsurgical retreatment, surgery, or extraction is the appropriate next step [1, PDF p.1192].</w:t>
      </w:r>
    </w:p>
    <w:p>
      <w:r>
        <w:rPr>
          <w:b/>
        </w:rPr>
        <w:t xml:space="preserve">DEFINITION — Persistent or reintroduced intraradicular microorganisms: </w:t>
      </w:r>
      <w:r>
        <w:t>the major cause of posttreatment disease: bacteria remaining in, or reintroduced into, an inadequately cleaned, shaped, obturated, or restored canal system continue to provoke apical periodontitis. Unlike the polymicrobial, predominantly anaerobic flora typical of an untreated infected canal, cultures from a failed, previously root-filled tooth typically yield very few species — often a single organism — predominantly gram-positive rather than anaerobic, with Enterococcus faecalis a particularly common and notably disinfection-resistant isolate. Fungi, notably Candida albicans, are also frequently implicated in these recalcitrant, persistent infections [1, PDF p.1195].</w:t>
      </w:r>
    </w:p>
    <w:p>
      <w:r>
        <w:rPr>
          <w:b/>
        </w:rPr>
        <w:t xml:space="preserve">DEFINITION — Extraradicular infection: </w:t>
      </w:r>
      <w:r>
        <w:t>bacteria that have invaded the periradicular tissue itself, beyond the canal system, via direct spread, a communicating periodontal pocket, extruded infected dentin chips, or overextended contaminated instruments. Most such invaders are cleared by host defenses, but certain organisms — notably Actinomyces israelii and Propionibacterium propionicum — can persist in the periradicular tissue itself and actively prevent healing even after technically adequate nonsurgical retreatment, which is precisely why this category sometimes requires surgical intervention rather than orthograde retreatment alone [1, PDF p.1195].</w:t>
      </w:r>
    </w:p>
    <w:p>
      <w:r>
        <w:rPr>
          <w:b/>
        </w:rPr>
        <w:t xml:space="preserve">DEFINITION — Foreign body reaction: </w:t>
      </w:r>
      <w:r>
        <w:t>persistent disease occurring in the absence of any identifiable microorganism, attributed instead to retained foreign material in the periradicular tissue — documented examples include cellulose fibers shed from paper points and even lentil beans. Gutta-percha and sealer are generally well tolerated by periapical tissue, so healing can still occur around modestly overextended filling material provided the tissue was not also inoculated with microorganisms during overinstrumentation — it is the combination of overextension AND persistent infection, not overextension alone, that most reliably predicts a lower incidence of healing [1, PDF p.1195-1196].</w:t>
      </w:r>
    </w:p>
    <w:p>
      <w:r>
        <w:rPr>
          <w:b/>
        </w:rPr>
        <w:t xml:space="preserve">DEFINITION — True cysts: </w:t>
      </w:r>
      <w:r>
        <w:t>periradicular cysts forming when retained epithelial cell rests of Malassez proliferate under chronic inflammatory stimulation, reported to account for 15% to 42% of all periapical lesions — though a periapical radiolucency cannot be distinguished from the far more common periapical granuloma radiographically. A genuinely important distinction for retreatment prognosis: a periapical POCKET cyst has a lumen open to the root canal and can heal after adequate root canal treatment or retreatment alone, whereas a periapical TRUE cyst has a self-contained lumen fully enclosed by continuous epithelium and, being self-sustaining, may not resolve with nonsurgical retreatment alone, regardless of how well the canal system itself is cleaned and refilled [1, PDF p.1196].</w:t>
      </w:r>
    </w:p>
    <w:p>
      <w:r>
        <w:rPr>
          <w:b w:val="0"/>
          <w:i w:val="0"/>
        </w:rPr>
        <w:t>**Added on audit**: real quantified outcome data helps calibrate expectations for retreatment, and is worth presenting alongside the categorical framework above. A US epidemiological study of 4744 teeth that underwent orthograde retreatment by endodontists found an 89% success rate at 5 years. An earlier, longer-follow-up study of 112 roots retreated by undergraduate students found 85.7% success at 10-17 years, rising to 95.5% at 20-27 years — matching the success rate of primary treatment — with the authors concluding that persistent ASYMPTOMATIC periapical radiolucencies, especially with overfill, should generally not be classified as outright failures, since many resolve given a genuinely extended observation period. A separate mean-weighted analysis across a range of studies puts nonsurgical retreatment's overall success rate at 66% — roughly 6% lower than primary treatment of teeth with apical periodontitis — attributable to obstructed access to the apical infection and a potentially more treatment-resistant bacterial flora [2, PDF p.283; 4, PDF p.89].</w:t>
      </w:r>
    </w:p>
    <w:p>
      <w:r>
        <w:rPr>
          <w:b w:val="0"/>
          <w:i w:val="0"/>
        </w:rPr>
        <w:t>**Added on audit**: this outcome data feeds directly into a broader decision-pathway question — retreatment versus surgery versus extraction — worth stating explicitly rather than leaving implicit. In a systematic review, endodontic surgery was found to offer more favorable INITIAL success, but nonsurgical retreatment produced a more favorable LONG-TERM outcome — directly supporting nonsurgical retreatment as the conventional first-line approach after failed initial treatment, with apical microsurgery reserved for cases where retreatment is impractical (e.g., an inaccessible or unremovable canal obstruction) or has already failed, rather than as an equally-weighted alternative from the outset [2, PDF p.283; 5, PDF p.236]. Vertical root fracture is a further real, quantified cause of failure worth flagging specifically since it is NOT resolvable by any retreatment technique at all: it accounts for roughly 3% of failures in endodontically treated teeth generally, 11% of fixed-prosthesis failures at 18 years, and has been found in up to 32% of teeth requiring extraction after root canal treatment — overwhelmingly in root-filled teeth that also carried a post or screw, a real reason to include fracture in the differential whenever a retreatment case is being worked up rather than assuming persistent disease is always reinfection [2, PDF p.284].</w:t>
      </w:r>
    </w:p>
    <w:p>
      <w:pPr>
        <w:pStyle w:val="Heading3"/>
      </w:pPr>
      <w:r>
        <w:t>4.6.2 Re-Entry Through Existing Restorations</w:t>
      </w:r>
    </w:p>
    <w:p>
      <w:r>
        <w:rPr>
          <w:b w:val="0"/>
          <w:i w:val="0"/>
        </w:rPr>
        <w:t>Retreatment access has been aptly termed "coronal disassembly," since most teeth requiring retreatment already carry a full-coverage restoration — frequently supported by a post and core — that must be navigated or removed before the canal system itself can even be reached. When an existing crown is defective or already planned for replacement, the decision is straightforward: remove and replace it. When the crown is otherwise satisfactory, the decision is genuinely more complex, since preserving it avoids replacement cost, simplifies rubber-dam isolation, and preserves the existing occlusion and esthetics — but accessing through an intact crown carries real, elevated risk of an iatrogenic mishap from restricted visibility, a genuinely higher chance of missing hidden recurrent caries, a fracture, or an additional canal, and a meaningful risk of damaging the restoration itself during access (a risk that must be explicitly communicated to the patient beforehand) [1, PDF p.1217-1218].</w:t>
      </w:r>
    </w:p>
    <w:p>
      <w:r>
        <w:rPr>
          <w:b w:val="0"/>
          <w:i w:val="0"/>
        </w:rPr>
        <w:t>Bur selection for cutting through an existing restoration is genuinely material-specific rather than one-size-fits-all. Metal (amalgam or cast alloy) and composite resin are typically cut with carbide fissure burs; a porcelain-fused-to-metal crown requires a round diamond bur through the porcelain layer followed by an end-cutting bur (e.g., a Transmetal bur) once the metal substructure is reached. All-porcelain restorations carry a genuine, material-specific hazard: porcelain is a glass, and drilling through it creates micro-fractures that can weaken the restoration and predispose it to LATER failure, even if no immediate visible damage occurs during access itself — copious coolant water and diamond burs are recommended specifically to minimize this risk, and one study found air abrasion produced almost no porcelain defects compared with conventional drilling, at the cost of a significantly longer procedure time [1, PDF p.1218-1219].</w:t>
      </w:r>
    </w:p>
    <w:p>
      <w:r>
        <w:rPr>
          <w:b w:val="0"/>
          <w:i w:val="0"/>
        </w:rPr>
        <w:t>Zirconia crowns present a distinct, genuinely recognizable intraoperative sign: because zirconia is extremely hard and resistant to cutting, conventional diamond burs struggle to cut it efficiently, producing visible sparks (small flashes of light) at the bur-zirconia interface — often the FIRST clue a clinician has that a tooth-colored crown resembling a porcelain jacket crown is actually zirconia-based, since a ceramic-veneered zirconia crown cuts easily through its outer ceramic layer before abruptly slowing and sparking once the zirconia substructure itself is reached. Newer zirconia-specific diamond burs cut this material more efficiently without the spark phenomenon, and copious irrigation remains essential throughout to control heat generation regardless of which bur is used [1, PDF p.1219].</w:t>
      </w:r>
    </w:p>
    <w:p>
      <w:pPr>
        <w:pStyle w:val="Heading3"/>
      </w:pPr>
      <w:r>
        <w:t>4.6.3 Removal of Obturating Material and Obstructions</w:t>
      </w:r>
    </w:p>
    <w:p>
      <w:pPr>
        <w:pStyle w:val="Heading3"/>
      </w:pPr>
      <w:r>
        <w:t>Gutta-Percha Removal</w:t>
      </w:r>
    </w:p>
    <w:p>
      <w:r>
        <w:rPr>
          <w:b w:val="0"/>
          <w:i w:val="0"/>
        </w:rPr>
        <w:t>A genuinely important caveat before any technique discussion: no single technique, instrument, or solvent can by itself remove all previous root-filling material from a canal — retreatment always requires combining heat, solvent, and mechanical instrumentation, tailored to the individual case [1, PDF p.1245]. After confirming there is no solid-core (plastic) carrier present — heat should NOT be used to remove a plastic-carrier obturator's coronal material — heat is applied via a controlled-temperature device such as Touch 'n Heat, in short bursts followed by cooling so the softened gutta-percha adheres to and can be withdrawn with the heat carrier, taking care not to overheat the root and damage the periodontal ligament. Remaining coronal material is then removed with small Gates-Glidden drills, which can also be used deliberately in an anticurvature direction to flare an underprepared cervical third and create a reservoir for solvent [1, PDF p.1245-1246].</w:t>
      </w:r>
    </w:p>
    <w:p>
      <w:r>
        <w:rPr>
          <w:b w:val="0"/>
          <w:i w:val="0"/>
        </w:rPr>
        <w:t>Chloroform remains the most widely used gutta-percha solvent, valued for rapidly dissolving GP and a long clinical track record; alternatives (methylchloroform, eucalyptol, halothane, rectified turpentine, xylene) each carry a specific drawback — eucalyptol and xylene dissolve GP slowly unless heated, rectified turpentine is more toxic than chloroform and has a pungent odor, halothane takes longer than chloroform despite comparable efficacy and carries a rare idiosyncratic hepatic-necrosis risk, and methylchloroform, while less toxic, is also less effective. Chloroform was banned by the FDA from drugs and cosmetics in 1976 over suspected carcinogenicity, but this ban never extended to its dental use, and with careful, judicious application chloroform is considered a safe and effective endodontic solvent, and remains the recommended choice [1, PDF p.1246-1247]. The solvent is introduced as a reservoir in the coronal canal, and small hand files (often rigid, precurved C+ files, which penetrate condensed GP more efficiently than flexible K-files) are used to increase the GP's exposed surface area and accelerate dissolution, with care taken not to extrude the softened GP-solvent mixture beyond the canal, which risks severe postoperative pain [1, PDF p.1247-1248].</w:t>
      </w:r>
    </w:p>
    <w:p>
      <w:r>
        <w:rPr>
          <w:b w:val="0"/>
          <w:i w:val="0"/>
        </w:rPr>
        <w:t>A genuinely important, easily-missed clinical pitfall during GP removal: electronic apex locators, though highly accurate in NON-retreatment cases, become measurably less reliable while gutta-percha is actively being removed — studies have found both underestimation and overestimation of working length in this specific phase, plausibly because chloropercha residue on the file affects its electrical conductivity. A confirmatory radiograph as the estimated length is approached is therefore recommended specifically during this phase (with CBCT, where already available from preoperative workup, offering a more accurate length estimate than a periapical film) — apex-locator accuracy is regained once the root filling has been fully removed and a clean file is used [1, PDF p.1248-1249].</w:t>
      </w:r>
    </w:p>
    <w:p>
      <w:r>
        <w:rPr>
          <w:b w:val="0"/>
          <w:i w:val="0"/>
        </w:rPr>
        <w:t>A genuinely important sealer-specific caveat for retreatment: glass-ionomer-based sealers (e.g., Ketac-Endo) and modern bioceramic sealers (e.g., EndoSequence BC Sealer) are, respectively, virtually insoluble in chloroform/halothane or become hard-set and resistant to dissolution once fully set — retreating a canal filled with either requires removing the gutta-percha and then relying on ultrasonic debridement of the canal walls, a difficult and time-consuming process that CAN approach the cleanliness achieved in a conventional GP/sealer retreatment case, but only with substantially more effort [1, PDF p.1250].</w:t>
      </w:r>
    </w:p>
    <w:p>
      <w:pPr>
        <w:pStyle w:val="Heading3"/>
      </w:pPr>
      <w:r>
        <w:t>Removal of Separated Instruments</w:t>
      </w:r>
    </w:p>
    <w:p>
      <w:r>
        <w:rPr>
          <w:b w:val="0"/>
          <w:i w:val="0"/>
        </w:rPr>
        <w:t>Instrument separation can occur with any instrument type or technique, with meaningfully different real incidence rates: approximately 0.25% for hand instruments versus 1.68% to 2.4% for rotary instruments — a concrete, quantified reason rotary systems demand more disciplined usage protocols than hand files [1, PDF p.1287]. Documented causes cluster around improper use (failing to discard a fatigued or flawed instrument, using excessive apical pressure, instrumenting a dry canal without adequate lubrication, or allowing dentin-shaving buildup in the flutes to increase frictional resistance), inadequate access design (forcing a file against unremoved access-cavity walls, or an underprepared access creating an iatrogenic S-curve that concentrates severe stress on a rotating instrument), and canal anatomy itself (abrupt curvatures or undetected ledges) — manufacturing defects, by contrast, have never been convincingly shown to be a clinically relevant cause and are genuinely rare [1, PDF p.1288-1290].</w:t>
      </w:r>
    </w:p>
    <w:p>
      <w:r>
        <w:rPr>
          <w:b w:val="0"/>
          <w:i w:val="0"/>
        </w:rPr>
        <w:t>When separation occurs, an immediate radiograph, full patient disclosure, and detailed documentation (retaining the physical file segment itself in the patient record) are all standard of care — a separated instrument does NOT automatically mean surgery or tooth loss. The single most important prognostic factor is NOT the presence of the separated instrument itself but whether infected, necrotic pulp tissue remains apical to it: if the canal had already been substantially cleaned and shaped before separation occurred, or if the preoperative pulp was vital and there was no apical periodontitis, prognosis is essentially unaffected regardless of whether the fragment is removed, bypassed, or simply incorporated into the obturation. If the fragment cannot be removed or bypassed in a tooth WITH necrotic infected pulp and apical periodontitis, prognosis becomes genuinely uncertain and the case should be followed closely, with apical surgery or extraction considered if symptoms persist [1, PDF p.1290-1291].</w:t>
      </w:r>
    </w:p>
    <w:p>
      <w:r>
        <w:rPr>
          <w:b w:val="0"/>
          <w:i w:val="0"/>
        </w:rPr>
        <w:t>Retrievability itself depends heavily on the fragment's location: an instrument confined to the straight coronal portion of the canal is usually retrievable, whereas a fragment lodged apical to a canal curvature generally cannot be removed orthograde without a substantially elevated risk of a further iatrogenic complication (perforation, ledge). The instrument's material also matters mechanically: nickel-titanium fragments tend to shatter under ultrasonic energy, complicating retrieval, whereas stainless-steel fragments are more robust and more amenable to ultrasonic removal [1, PDF p.1291] — directly connecting this retreatment-stage consideration back to the same ultrasonic-troughing technique already introduced for locating calcified canals in Sub-Module 4.1.2, now applied to removing an obstruction rather than finding an orifice.</w:t>
      </w:r>
    </w:p>
    <w:p>
      <w:r>
        <w:rPr>
          <w:b w:val="0"/>
          <w:i w:val="0"/>
        </w:rPr>
        <w:t>**Added on audit**: named rotary instruments specifically designed for gutta-percha/obturation-material removal are a further practical addition worth knowing alongside the hand-instrument and solvent techniques above — Mtwo R files (available in 15/.05 and 25/.05, with an active cutting tip designed specifically to penetrate obturation material) and XR Retreatment Files serve this purpose and can meaningfully speed up the coronal and middle-third removal phase before hand instruments and solvent take over for the apical portion [6, PDF p.75].</w:t>
      </w:r>
    </w:p>
    <w:p>
      <w:pPr>
        <w:pStyle w:val="Heading3"/>
      </w:pPr>
      <w:r>
        <w:t>Silver Point Removal</w:t>
      </w:r>
    </w:p>
    <w:p>
      <w:r>
        <w:rPr>
          <w:b w:val="0"/>
          <w:i w:val="0"/>
        </w:rPr>
        <w:t>**Added on audit**: silver points were a historically common core material before gutta-percha's dominance, and encountering one during retreatment requires its own distinct removal logic. A silver point that conforms tightly to the canal walls is genuinely difficult to remove; a loosely-fitting point, particularly one extending into the pulp chamber, presents far less difficulty. Any sealer, zinc phosphate cement, or composite covering the point's coronal end within the chamber is first cleared with ultrasonics, after which the freed coronal end can be grasped with hemostatic (Stieglitz) forceps and withdrawn directly. A genuinely important complication: if the chamber was instead filled with AMALGAM, the silver point often cannot be visually distinguished from the surrounding metal, and the point will typically be sectioned at the orifice during amalgam removal unless the amalgam mass can be dislodged and removed in one intact piece — cutting the point this way seriously complicates, and can make impossible, its subsequent retrieval [2, PDF p.291-292].</w:t>
      </w:r>
    </w:p>
    <w:p>
      <w:r>
        <w:rPr>
          <w:b w:val="0"/>
          <w:i w:val="0"/>
        </w:rPr>
        <w:t>Dislodging an intact silver point is generally facilitated by softening the surrounding sealer with solvent, by direct ultrasonic energy, or — particularly effective once hand instruments have created space alongside the point — by "indirect" ultrasonics, in which ultrasonic energy is transmitted through grasping pliers holding the point itself, breaking up material deep in the canal and synergistically aiding removal; ultrasonics is similarly effective at retrieving point FRAGMENTS that have broken off due to corrosion. Several dedicated named removal systems exist for genuinely difficult cases — the lasso-and-anchor technique, the Cancellier Extractor kit, the Instrument Removal System (iRS), a wire-loop technique, the Masserann kit, and the Endo Extractor System — each a further tool in the armamentarium beyond hand instruments and ultrasonics alone [2, PDF p.292].</w:t>
      </w:r>
    </w:p>
    <w:p>
      <w:pPr>
        <w:pStyle w:val="Heading3"/>
      </w:pPr>
      <w:r>
        <w:t>Paste and Sargenti/N2 Retreatment</w:t>
      </w:r>
    </w:p>
    <w:p>
      <w:r>
        <w:rPr>
          <w:b w:val="0"/>
          <w:i w:val="0"/>
        </w:rPr>
        <w:t>**Added on audit**: paste-filled canals (most commonly iodoform paste, historically) are, by definition, easier to remove than a set core material, since a paste does not fully set within the canal and can generally be penetrated and removed with ordinary hand instruments and irrigation alone [2, PDF p.291]. The genuine exception, and a real clinical hazard worth knowing specifically, is the N2/Sargenti technique — a formaldehyde-based (with or without lead) paste-filling method, named because Sargenti termed it the "second nerve" placed during treatment, dyed red to resemble pulp tissue. Introduced to American dentistry in the early 1960s, it met little acceptance until a revised version, reintroduced roughly a decade later, gained real adherents and even its own promotional society among general dentists. The technique itself combined engine-driven canal preparation with NO intracanal irrigant, a formaldehyde-paste fill with no standardized length-control theory, strongly endorsed one-sitting treatment, and — in certain cases — deliberate artificial fistulation without raising a surgical flap [3, PDF p.1553-1555].</w:t>
      </w:r>
    </w:p>
    <w:p>
      <w:r>
        <w:rPr>
          <w:b w:val="0"/>
          <w:i w:val="0"/>
        </w:rPr>
        <w:t>American endodontists were vocal in their opposition, and the reasons were grounded in real, documented basic-science findings about the material's undesirable properties, reinforced by a genuine clinical track record: many teeth treated by N2 advocates through the 1970s-80s required extraction or retreatment because of incomplete debridement or an inadequate seal — an outcome endodontists considered predictable given the inherent difficulty of achieving a reliable seal with any paste-only filling technique. Documented complications included cases of apical fenestration with genuinely disastrous outcomes, and strange-appearing overfills from fistulation cases. The claimed advantages of simplicity, ease, and reliability did not hold up over time [3, PDF p.1555-1556]. A directly corroborating, retreatment-specific fact worth flagging: N2 and the related "Russian Red" cement have NO available solvent at all — attempts to remove them with a small long-shank round bur or ultrasonic tip carry a real risk of creating a false canal and perforation, rather than achieving clean removal [4, PDF p.251].</w:t>
      </w:r>
    </w:p>
    <w:p>
      <w:pPr>
        <w:pStyle w:val="Heading3"/>
      </w:pPr>
      <w:r>
        <w:t>Removal of Solid-Core (Carrier-Based) Obturators</w:t>
      </w:r>
    </w:p>
    <w:p>
      <w:r>
        <w:rPr>
          <w:b w:val="0"/>
          <w:i w:val="0"/>
        </w:rPr>
        <w:t>**Added on audit**: retreating a carrier-based (Thermafil-type) obturation, now covered as an obturation technique in Sub-Module 4.5.3, requires its own distinct removal sequence, since the canal is typically well-filled with little working space to start from. The first goal is removing the central carrier itself — either with a NiTi rotary instrument run at 600-700rpm and sized small enough to engage the gutta-percha between the carrier and canal wall, or by "braiding": creating space to pass two or three Hedstrom files alongside the carrier's circumference, twisting them together around it, and using the resulting braid to pull the carrier out directly. Once the carrier is removed, the residual gutta-percha is cleared using the same solvent/hand-instrument/wicking technique already described above for conventional gutta-percha [4, PDF p.251]. A genuinely useful, generation-specific fact worth knowing before starting: the ORIGINAL Thermafil system used metal carriers, considerably harder to remove than the modern version, which incorporates a longitudinal slot specifically designed to make retreatment easier — knowing roughly how long ago the original obturation was placed is a real, practical clue to which removal difficulty to expect [4, PDF p.251]. Harty's supplies a complementary, chloroform-assisted alternative protocol: the gutta-percha around the coronal 4-5mm of the carrier is dissolved first, an ISO #35-40 Flexofile is then screwed in alongside the softened carrier and gripped with Steiglitz or artery forceps, and coronal traction usually extracts carrier and remaining gutta-percha together in one piece [7, p.298]. A further real, practical distinction worth knowing generally for retreatment difficulty: soft pastes such as Endomethasone pass through fairly easily with hand instruments, whereas hard-setting resin sealers such as AH26 require prolonged ultrasonic vibration and frequently cause any silver points present to disintegrate in situ during the attempt [7, p.298].</w:t>
      </w:r>
    </w:p>
    <w:p>
      <w:pPr>
        <w:pStyle w:val="Heading3"/>
      </w:pPr>
      <w:r>
        <w:t>Repair of Perforations</w:t>
      </w:r>
    </w:p>
    <w:p>
      <w:r>
        <w:rPr>
          <w:b/>
        </w:rPr>
        <w:t xml:space="preserve">DEFINITION — Perforation: </w:t>
      </w:r>
      <w:r>
        <w:t>a pathologic or iatrogenic communication between the root canal space and the periodontal attachment apparatus, creating an unintended additional "portal of exit" through which mechanical trauma and toxic or infective material provoke an inflammatory reaction in the surrounding periodontium. Beyond iatrogenic mishap during treatment, perforations also occur spontaneously from caries or internal/external resorption [2, PDF p.301].</w:t>
      </w:r>
    </w:p>
    <w:p>
      <w:r>
        <w:rPr>
          <w:b w:val="0"/>
          <w:i w:val="0"/>
        </w:rPr>
        <w:t>Once identified, a perforation must be sealed as quickly as possible, since periodontal involvement arising from it can become genuinely irreversible over time — managing a perforated tooth is often a multidisciplinary decision between nonsurgical retreatment, surgical correction, extraction, or some combination. Four variables should be weighed, individually and together, when assessing prognosis: LEVEL (apical- and middle-third perforations carry a substantially better prognosis than coronal-third or pulp-chamber-floor perforations); LOCATION (circumferential position matters primarily for surgical access planning, less so for nonsurgical retreatment); SIZE AND SHAPE (larger defects are harder to seal, and lateral/furcal perforations are typically elliptical rather than round, with no natural taper to aid an apical seal); and TIME (the interval between perforation and sealing directly determines how much periodontal breakdown has already occurred — sealing in the SAME appointment, if possible, is the goal). In short: the more coronal the perforation and the longer it goes unsealed, the worse the prognosis [2, PDF p.301-302].</w:t>
      </w:r>
    </w:p>
    <w:p>
      <w:r>
        <w:rPr>
          <w:b w:val="0"/>
          <w:i w:val="0"/>
        </w:rPr>
        <w:t>Management differs meaningfully by level. Apical-third perforations most often occur when an instrument transposes the true apical foramen in a curved canal; if the original canal can still be located (with small precurved instruments, generous irrigation, and patience), damage is often minimal and the perforation can simply be treated as an accessory lateral canal and obturated conventionally, with an MTA plug reserved for larger defects to prevent overfilling. If the original path is genuinely lost to debris obstruction, filling the canal as-is with subsequent SURGICAL removal of the apex (and the untreated canal portion within it) becomes necessary, particularly in a necrotic tooth. Middle-third perforations most often result from post-space or coronal-radicular preparation with rotary instruments (Peeso, Gates-Glidden, Largo) cutting through the thin dentin on the concave, furcation-facing wall of a curved root — the mesial roots of mandibular molars and mesiobuccal roots of maxillary molars are specifically named as the highest-risk roots for this "stripping" injury and should never be aggressively enlarged for a post; the distal root of mandibular molars and the palatal root of maxillary molars are, by contrast, the safest roots for post-space preparation. Coronal-third and furcal perforations most often result from an inadequately planned access cavity or from searching for a calcified orifice in the wrong direction — avoidable with ultrasonic tips and magnification — and carry the worst prognosis of all levels because mechanical trauma plus oral-cavity contamination causes genuinely rapid periodontal ligament and alveolar bone destruction, with the epithelial attachment migrating apically along the defect [2, PDF p.302-303].</w:t>
      </w:r>
    </w:p>
    <w:p>
      <w:r>
        <w:rPr>
          <w:b w:val="0"/>
          <w:i w:val="0"/>
        </w:rPr>
        <w:t>Repairing any perforation involves two distinct challenges, both best managed under an operating microscope: first, achieving hemostasis and preventing overfill by placing a biocompatible, absorbable internal barrier/matrix (historically Collacote collagen, tricalcium phosphate, or calcium phosphate) through the access cavity to control placement of the restorative material that follows; second, selecting an actual restorative material that seals well, is non-resorbable, biocompatible, and supports new tissue formation — historically amalgam, and more recently SuperEBA resin cement or bonded composite. MTA, developed by Mahmoud Torabinejad at Loma Linda University, has become the material that most directly changed this field's prognosis: it is hydrophilic (setting IN THE PRESENCE of moisture, unlike every other restorative option, which requires a dry field), biocompatible, antibacterial, and osteogenic, hydrating from powder into a colloidal gel that hardens over roughly 4 hours — and its use does not always require a separate barrier material at all, a genuine practical simplification over older techniques [2, PDF p.303-305].</w:t>
      </w:r>
    </w:p>
    <w:p>
      <w:pPr>
        <w:pStyle w:val="Heading1"/>
      </w:pPr>
      <w:r>
        <w:t>References</w:t>
      </w:r>
    </w:p>
    <w:p>
      <w:r>
        <w:rPr>
          <w:b w:val="0"/>
          <w:i w:val="0"/>
        </w:rPr>
        <w:t>[1] Cohen S, Hargreaves KM, Berman LH, eds. Cohen's Pathways of the Pulp, 12th ed. St. Louis: Elsevier; 2021. Ch.10, "Nonsurgical Retreatment" (Roda RS, Gettleman BH, Johnson SC).</w:t>
      </w:r>
    </w:p>
    <w:p>
      <w:r>
        <w:rPr>
          <w:b w:val="0"/>
          <w:i w:val="0"/>
        </w:rPr>
        <w:t>[2] Peters OA, ed. The Guidebook to Molar Endodontics, 2nd ed. Cham: Springer; 2022.</w:t>
      </w:r>
    </w:p>
    <w:p>
      <w:r>
        <w:rPr>
          <w:b w:val="0"/>
          <w:i w:val="0"/>
        </w:rPr>
        <w:t>[3] Weine FS. Endodontic Therapy, 6th ed. St. Louis: Mosby; 2004.</w:t>
      </w:r>
    </w:p>
    <w:p>
      <w:r>
        <w:rPr>
          <w:b w:val="0"/>
          <w:i w:val="0"/>
        </w:rPr>
        <w:t>[4] Gulabivala K, Ng Y-L. Endodontics, 4th ed. Edinburgh: Mosby Elsevier; 2014.</w:t>
      </w:r>
    </w:p>
    <w:p>
      <w:r>
        <w:rPr>
          <w:b w:val="0"/>
          <w:i w:val="0"/>
        </w:rPr>
        <w:t>[5] Chugal N, Lin LM, eds. Endodontic Prognosis: Clinical Guide for Optimal Treatment Outcome. Cham: Springer; 2017.</w:t>
      </w:r>
    </w:p>
    <w:p>
      <w:r>
        <w:rPr>
          <w:b w:val="0"/>
          <w:i w:val="0"/>
        </w:rPr>
        <w:t>[6] Jain P, ed. Current Therapy in Endodontics. Ames: Wiley-Blackwell; 2017.</w:t>
      </w:r>
    </w:p>
    <w:p>
      <w:r>
        <w:rPr>
          <w:b w:val="0"/>
          <w:i w:val="0"/>
        </w:rPr>
        <w:t>[7] Berman LH, Hargreaves KM, et al. Harty's Endodontics in Clinical Practice, 7th ed. Edinburgh: Elsevier;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