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5.1: Indications, Contraindications &amp; Case Selection for Surgery</w:t>
      </w:r>
    </w:p>
    <w:p>
      <w:r>
        <w:rPr>
          <w:b/>
          <w:i w:val="0"/>
        </w:rPr>
        <w:t>Module 2 — Endodontics, Sub-Module 5: Surgical Endodontics</w:t>
      </w:r>
    </w:p>
    <w:p>
      <w:pPr>
        <w:pStyle w:val="Heading1"/>
      </w:pPr>
      <w:r>
        <w:t>Note on Sources</w:t>
      </w:r>
    </w:p>
    <w:p>
      <w:r>
        <w:rPr>
          <w:b w:val="0"/>
          <w:i w:val="0"/>
        </w:rPr>
        <w:t>Built primarily from Torabinejad M, Rubinstein R (eds). The Art and Science of Contemporary Surgical Endodontics (Quintessence, 2019) — a dedicated surgical-endodontics monograph by specialists in the field, used here for Chapter 5 "Diagnosis and Treatment Planning" (Torabinejad) and Chapter 6 "Cone Beam Computed Tomography in Treatment Planning of Periapical Surgery" (Fayad, Azevedo, Rubinstein), which map almost exactly onto this sub-module's scope. Harty's Endodontics in Clinical Practice, 7th ed., Ch.10 "Surgical Endodontics" supplies a second, independently useful framework for indications and contraindications, plus a consolidated table of general medical conditions requiring consultation — genuinely complementary to Torabinejad's chapter rather than redundant with it, so both are cited throughout. The remaining standing Module 2 sources (Ingle's, Cohen's, Grossman's, Weine's, Gulabivala &amp; Ng's, Endodontic Prognosis, Current Therapy in Endodontics) were checked and found to treat surgical indications/case-selection only briefly or in passing compared with these two dedicated treatments, so they are held in reserve for the more technique- and outcomes-specific files later in this sub-module (5.2–5.7) rather than force-cited here.</w:t>
      </w:r>
    </w:p>
    <w:p>
      <w:r>
        <w:rPr>
          <w:b w:val="0"/>
          <w:i w:val="0"/>
        </w:rPr>
        <w:t>**Audit update**: following a user-requested audit against Cohen's Pathways of the Pulp (12th ed.), Ingle's Endodontics (7th ed.), and Grossman's Endodontic Practice (14th ed.), Cohen's Ch.11 "Periradicular Surgery" (Johnson, Fayad, Berman) and Grossman's Ch.22 "Endodontic Surgery" were both confirmed genuinely additive and added as further sources. Cohen's supplies MRONJ/ARONJ (medication-related osteonecrosis of the jaw) as a distinct preoperative risk factor with real incidence data, a cost-effectiveness comparison against implant retention, the cyst-versus-granuloma and vertical-root-fracture rationale for exploratory surgery, and diabetes/immunosuppression as healing-risk modifiers — none of which Torabinejad's own chapter covers at this depth. Grossman's contributes "failure of previous surgery" (resurgery) as its own explicit indication category, a specific twice-attempted-nonsurgical-retreatment threshold before surgery is indicated for that reason, and practitioner skill/experience as its own contraindication axis, distinct from patient- and anatomy-based contraindications. Ingle's Ch.24 was checked directly and found to restate the same six indications and four contraindications already covered from Torabinejad's chapter, without adding new content specific to case selection — noted transparently. A DCNA-collection audit separately confirmed two further genuinely additive articles: Lieblich's "Endodontic Surgery" (Dent Clin North Am 2012), an oral surgeon's perspective supplying a full retreatment-versus-surgery-versus-extraction decision algorithm and real long-term survival data from several named studies; and Fatahzadeh et al's "Systemic Factors Affecting Healing in Dentistry" (Dent Clin North Am 2024), which supplies real mechanistic depth on diabetes, smoking, and alcohol as healing modifiers beyond the outcome-percentage level already covered.</w:t>
      </w:r>
    </w:p>
    <w:p>
      <w:r>
        <w:rPr>
          <w:b w:val="0"/>
          <w:i w:val="0"/>
        </w:rPr>
        <w:t>Citation convention: Torabinejad's marker-to-printed-page offset was verified locally across more than 25 points (marker−13 = printed page, confirmed consistent from the front matter through at least printed page 167) — cited as `[1, p.X]`. Harty's uses its own previously confirmed offset for this same PDF (marker−16 = printed page, established earlier in this project) — cited as `[2, p.X]`. Cohen's has no recoverable printed folio in this extraction — uses the PDF-page fallback convention: `[3, PDF p.X]`. Grossman's confirmed offset (marker−25 = printed page) — cited as `[4, p.X]`. Lieblich's and Fatahzadeh et al's DCNA articles have real printed pagination — cited as `[5, p.X]` and `[6, p.X]` respectively.</w:t>
      </w:r>
    </w:p>
    <w:p>
      <w:pPr>
        <w:pStyle w:val="Heading2"/>
      </w:pPr>
      <w:r>
        <w:t>5.1 Indications, Contraindications &amp; Case Selection for Surgery</w:t>
      </w:r>
    </w:p>
    <w:p>
      <w:pPr>
        <w:pStyle w:val="Heading3"/>
      </w:pPr>
      <w:r>
        <w:t>5.1.1 Treatment Planning Framework for the Failing Root Canal-Treated Tooth</w:t>
      </w:r>
    </w:p>
    <w:p>
      <w:r>
        <w:rPr>
          <w:b w:val="0"/>
          <w:i w:val="0"/>
        </w:rPr>
        <w:t>Surgical endodontics does not exist in isolation — it is one option among several in a treatment-planning decision tree that begins the moment initial nonsurgical root canal treatment (NSRCT) fails to heal or appears unlikely to succeed. For a tooth with pulpal or periapical disease, the available options are vital pulp therapy, apexification, regenerative endodontics, root canal treatment, or extraction (with or without prosthetic replacement by a fixed partial denture or single implant); which option applies depends on pulpal status and the stage of apical closure [1, p.75]. When an already root canal-treated tooth fails to heal, the same decision tree reopens: nonsurgical retreatment, endodontic surgery, replantation, transplantation, or extraction [1, p.87].</w:t>
      </w:r>
    </w:p>
    <w:p>
      <w:r>
        <w:rPr>
          <w:b w:val="0"/>
          <w:i w:val="0"/>
        </w:rPr>
        <w:t>The single most important governing principle in this entire framework — stated explicitly by both Torabinejad and Harty's — is that nonsurgical retreatment is the default first-line option whenever it is feasible, and surgery is reserved for cases where retreatment is impossible, unlikely to succeed, or has already failed [1, p.88; 2, p.181]. This represents a genuine and documented shift from an older paradigm: historically, many texts listed instrument separation, apical fracture, an inadequate root filling, or the presence of a cyst as blanket indications for surgery in their own right. Advances in understanding the biology of apical periodontitis, combined with outcome studies directly comparing nonsurgical retreatment against surgery, have shown that high-quality nonsurgical retreatment achieves better long-term outcomes in most of these same scenarios — most teeth referred for surgery would, in fact, have been better served by nonsurgical retreatment [2, p.180]. Torabinejad's own systematic review comparing the two found that surgery offers a more favorable initial success rate, but nonsurgical retreatment offers a more favorable long-term outcome — directly supporting nonsurgical retreatment as the first choice before surgery is considered [1, p.94].</w:t>
      </w:r>
    </w:p>
    <w:p>
      <w:pPr>
        <w:pStyle w:val="Heading3"/>
      </w:pPr>
      <w:r>
        <w:t>5.1.2 Indications and Contraindications for Nonsurgical Retreatment</w:t>
      </w:r>
    </w:p>
    <w:p>
      <w:r>
        <w:rPr>
          <w:b w:val="0"/>
          <w:i w:val="0"/>
        </w:rPr>
        <w:t>Because the decision to operate surgically is inseparable from first ruling out retreatment, the indications and contraindications for nonsurgical retreatment set the baseline against which surgical case selection is made. Nonsurgical retreatment is indicated in a motivated patient whose tooth is restorable, periodontally sound, has a favorable crown-to-root ratio, and is accessible nonsurgically — it allows the clinician to improve disinfection and obturation quality and correct coronal leakage with a better restoration, and performing it before surgery (when indicated) has itself been shown to improve the outcome of the subsequent surgical procedure [1, p.87]. Conversely, nonsurgical retreatment is contraindicated in an unmotivated patient, a nonrestorable tooth, inadequate periodontal support, an unfavorable crown-to-root ratio, inaccessibility, or — notably — a single-rooted tooth with a vertical root fracture, which cannot be salvaged by retreatment at all [1, p.88].</w:t>
      </w:r>
    </w:p>
    <w:p>
      <w:pPr>
        <w:pStyle w:val="Heading3"/>
      </w:pPr>
      <w:r>
        <w:t>5.1.3 Indications for Periapical (Surgical) Endodontics</w:t>
      </w:r>
    </w:p>
    <w:p>
      <w:r>
        <w:rPr>
          <w:b w:val="0"/>
          <w:i w:val="0"/>
        </w:rPr>
        <w:t>Torabinejad organizes the indications for periapical surgery into six categories, each representing a distinct clinical scenario in which nonsurgical correction is not feasible or has already failed [1, pp.91-93]:</w:t>
      </w:r>
    </w:p>
    <w:p>
      <w:pPr>
        <w:pStyle w:val="ListBullet"/>
      </w:pPr>
      <w:r>
        <w:t>Failing root canal treatment where regaining access to the canal, or removing a post, would itself carry a real risk of perforation or root fracture, or would create an intractable restorative problem.</w:t>
      </w:r>
    </w:p>
    <w:p>
      <w:pPr>
        <w:pStyle w:val="ListBullet"/>
      </w:pPr>
      <w:r>
        <w:t>Procedural accidents — ledge formation, root perforation, separated instruments, or under-/overfilled canals — that cannot be corrected nonsurgically.</w:t>
      </w:r>
    </w:p>
    <w:p>
      <w:pPr>
        <w:pStyle w:val="ListBullet"/>
      </w:pPr>
      <w:r>
        <w:t>Irretrievable filling materials, whether within the root canal space itself or extruded beyond it, that cannot be removed by an orthograde approach.</w:t>
      </w:r>
    </w:p>
    <w:p>
      <w:pPr>
        <w:pStyle w:val="ListBullet"/>
      </w:pPr>
      <w:r>
        <w:t>Anatomical complexity of the root canal system — severe curvature, calcification, or developmental anomalies such as dens invaginatus — that prevents complete nonsurgical cleaning, shaping, and obturation.</w:t>
      </w:r>
    </w:p>
    <w:p>
      <w:pPr>
        <w:pStyle w:val="ListBullet"/>
      </w:pPr>
      <w:r>
        <w:t>Persistent symptoms during or after initial treatment or retreatment, when nonsurgical retreatment is not possible and surgery is needed to relieve pressure and pain.</w:t>
      </w:r>
    </w:p>
    <w:p>
      <w:pPr>
        <w:pStyle w:val="ListBullet"/>
      </w:pPr>
      <w:r>
        <w:t>Exploratory surgery, including biopsy, when a periapical radiolucency is suspicious for a lesion not of pulpal origin (see 5.1.4) and requires histologic confirmation — this is the one genuine indication for surgery that exists independent of any root canal treatment having failed at all.</w:t>
      </w:r>
    </w:p>
    <w:p>
      <w:r>
        <w:rPr>
          <w:b w:val="0"/>
          <w:i w:val="0"/>
        </w:rPr>
        <w:t>Harty's frames the same clinical reality with a more compact, three-part logic that is worth presenting alongside Torabinejad's six categories because it captures the underlying decision rule rather than an enumerated list: surgery is indicated (1) when nonsurgical retreatment has already failed or is technically impossible and there are signs or symptoms of persistent disease (e.g., a nonnegotiable canal, perforation, or ledge); (2) when there is a strong likelihood that nonsurgical retreatment itself will fail (e.g., a calcified canal in a symptomatic tooth); or (3) when a biopsy is required [2, p.181].</w:t>
      </w:r>
    </w:p>
    <w:p>
      <w:r>
        <w:rPr>
          <w:b w:val="0"/>
          <w:i w:val="0"/>
        </w:rPr>
        <w:t>A separate, genuinely distinct category is adjunctive surgery — procedures required to repair defects arising from either procedural accidents or pathologic processes, including perforation repair, root resection, hemisection, crown lengthening, and tooth replantation or transplantation. These are not periapical (root-end) surgery in the strict sense and are covered in Sub-Module 5.5 [1, p.93].</w:t>
      </w:r>
    </w:p>
    <w:p>
      <w:r>
        <w:rPr>
          <w:b w:val="0"/>
          <w:i w:val="0"/>
        </w:rPr>
        <w:t>Two of Torabinejad's own indication categories deserve more specific etiologic grounding than a bare list provides. "Exploratory surgery" is not a single catch-all scenario — Cohen's identifies two concrete situations it actually covers: a true periradicular cyst (a completely enclosed, epithelium-lined cavity, as distinct from a periapical granuloma) cannot be expected to resolve with nonsurgical treatment at all, since definitive diagnosis and management require an excisional biopsy of the periradicular tissue itself; and a suspected vertical root fracture — a significant, difficult-to-diagnose-early cause of failure — very often requires exploratory surgery simply to confirm the fracture, even though the prognosis once confirmed is generally poor and extraction is usually the eventual outcome (root amputation or hemisection remaining an option in a multirooted tooth if the remaining structure is sound) [3, PDF pp.1376-1377]. Grossman's adds a further, genuinely distinct indication category not named in Torabinejad's own list: failure of previous surgery itself (resurgery), most often attributable to the previous procedure not having used microsurgical instruments and magnification — and a specific threshold worth noting for "failure of nonsurgical retreatment" as an indication: nonsurgical retreatment should have been attempted at least twice before surgery is indicated for that reason specifically, not after a single failed attempt [4, p.426].</w:t>
      </w:r>
    </w:p>
    <w:p>
      <w:pPr>
        <w:pStyle w:val="Heading3"/>
      </w:pPr>
      <w:r>
        <w:t>5.1.4 Contraindications to Periapical Surgery</w:t>
      </w:r>
    </w:p>
    <w:p>
      <w:r>
        <w:rPr>
          <w:b w:val="0"/>
          <w:i w:val="0"/>
        </w:rPr>
        <w:t>Both sources converge on the same core point: genuine contraindications to periapical surgery are few, and the more common error in practice is overuse rather than underuse of the procedure. Torabinejad groups contraindications into four categories [1, p.94]:</w:t>
      </w:r>
    </w:p>
    <w:p>
      <w:pPr>
        <w:pStyle w:val="ListBullet"/>
      </w:pPr>
      <w:r>
        <w:t>Medical or systemic complications — uncontrolled diabetes, severe blood disorders, terminal disease, severe cardiac disease, or a compromised immune system — which warrant physician consultation before proceeding.</w:t>
      </w:r>
    </w:p>
    <w:p>
      <w:pPr>
        <w:pStyle w:val="ListBullet"/>
      </w:pPr>
      <w:r>
        <w:t>Indiscriminate use of surgery for cases that could be managed nonsurgically — explicitly labeled unethical practice, since outcome data favor nonsurgical retreatment where it remains feasible.</w:t>
      </w:r>
    </w:p>
    <w:p>
      <w:pPr>
        <w:pStyle w:val="ListBullet"/>
      </w:pPr>
      <w:r>
        <w:t>Anatomical factors that preclude adequate surgical access (e.g., an inaccessible root apex, proximity to the inferior alveolar nerve or the maxillary sinus that cannot be safely managed).</w:t>
      </w:r>
    </w:p>
    <w:p>
      <w:pPr>
        <w:pStyle w:val="ListBullet"/>
      </w:pPr>
      <w:r>
        <w:t>An unidentified cause of treatment failure — operating without first establishing why the original treatment failed risks repeating the same error surgically.</w:t>
      </w:r>
    </w:p>
    <w:p>
      <w:r>
        <w:rPr>
          <w:b w:val="0"/>
          <w:i w:val="0"/>
        </w:rPr>
        <w:t>Harty's frames contraindications more narrowly around three axes — patient factors (psychological and systemic), clinician factors (inadequate experience or expertise with the specific procedure), and anatomical factors or a complete lack of surgical access [2, p.181]. The clinician-factor axis is worth flagging explicitly: unlike most of the contraindications above, it is not a property of the case itself but a property of the operator, and both sources treat referral to a more experienced surgeon as the appropriate response rather than proceeding regardless. Grossman's independently names the same axis explicitly as its own contraindication — "practitioner's skill and experience with microsurgical treatment" — alongside a compact list otherwise matching what is already covered: inadequate periodontal support or active uncontrollable periodontal disease, poor postendodontic restorability, lesions dangerously close to the inferior alveolar nerve, lingual nerve, mental foramen, or maxillary sinus, and systemic complications such as bleeding disorders, recent myocardial infarction, or immunocompromise [4, p.427].</w:t>
      </w:r>
    </w:p>
    <w:p>
      <w:pPr>
        <w:pStyle w:val="Heading3"/>
      </w:pPr>
      <w:r>
        <w:t>5.1.5 Preoperative Patient Assessment</w:t>
      </w:r>
    </w:p>
    <w:p>
      <w:r>
        <w:rPr>
          <w:b w:val="0"/>
          <w:i w:val="0"/>
        </w:rPr>
        <w:t>Preoperative assessment for surgery is more demanding than for nonsurgical treatment because surgical endodontics induces measurably greater physiologic stress — increased heart rate and systolic blood pressure compared with NSRCT — and patients with above-average dental anxiety are more likely to experience significant physiologic changes intraoperatively [1, p.81]. A full medical and dental history is required, including current medications, herbal supplements, and over-the-counter drugs: several common supplements (ginkgo, ginger, garlic, ginseng, feverfew, fish oil, vitamin E) can increase intraoperative bleeding risk and should specifically be screened for before surgery, even though they are frequently omitted from a patient's own account of their medications [1, p.81].</w:t>
      </w:r>
    </w:p>
    <w:p>
      <w:r>
        <w:rPr>
          <w:b w:val="0"/>
          <w:i w:val="0"/>
        </w:rPr>
        <w:t>The American Society of Anesthesiologists (ASA) Health Classification System is used to assess physical status: ASA I and II categories generally require no treatment modification, while ASA III or above typically requires medical consultation before surgery is scheduled — though ASA category alone is only part of the risk assessment, since anticipated procedural stress and the patient's self-reported anxiety must be weighed alongside it [1, p.81]. Conditions specifically relevant to surgical (as opposed to nonsurgical) treatment planning include bleeding disorders and anticoagulant therapy, immunosuppression, and epinephrine tolerance — all of which carry a materially different weight in a procedure that involves incision, bone removal, and soft tissue manipulation than in NSRCT [1, p.81]. Harty's Table 10-1 consolidates the general medical conditions that routinely warrant consultation before endodontic surgery: hypertension, coronary atherosclerotic disease, stable angina, myocardial infarction, chronic obstructive pulmonary disease, anticoagulant therapy, cerebrovascular accident, epilepsy, diabetes, adrenal insufficiency, steroid therapy, organ transplantation, and impaired hepatic or renal function [2, p.181].</w:t>
      </w:r>
    </w:p>
    <w:p>
      <w:r>
        <w:rPr>
          <w:b w:val="0"/>
          <w:i w:val="0"/>
        </w:rPr>
        <w:t>Patients with valvular heart disease present two specific surgical considerations: infective endocarditis risk and excessive bleeding risk on anticoagulant therapy. Current American Heart Association guidelines (revised 2007) restrict antibiotic prophylaxis recommendations to the highest-risk conditions only — prosthetic heart valve, a prior episode of infective endocarditis, certain congenital heart conditions, and cardiac transplant with valvulopathy — rather than the broader set of conditions (mitral valve prolapse, rheumatic heart disease, bicuspid valve disease) for which prophylaxis was previously recommended; for these highest-risk patients, prophylaxis is specifically indicated for procedures involving manipulation of gingival tissue or the periapical region, or perforation of the oral mucosa — which by definition includes endodontic surgery [1, p.82].</w:t>
      </w:r>
    </w:p>
    <w:p>
      <w:pPr>
        <w:pStyle w:val="Heading3"/>
      </w:pPr>
      <w:r>
        <w:t>5.1.5b Medication-Related Osteonecrosis of the Jaw (MRONJ) as a Preoperative Risk Factor</w:t>
      </w:r>
    </w:p>
    <w:p>
      <w:r>
        <w:rPr>
          <w:b w:val="0"/>
          <w:i w:val="0"/>
        </w:rPr>
        <w:t>A distinct, genuinely important preoperative risk factor not reducible to the general anticoagulant/bleeding-disorder screening already covered is medication-related (or antiresorptive agent-induced) osteonecrosis of the jaw — MRONJ, also termed ARONJ — first reported in association with bisphosphonate use in 2003 and now recognized with other antiresorptive agents such as denosumab as well [3, PDF p.1391]. Patient-level risk factors include age over 65, chronic corticosteroid use, more than 2 years of bisphosphonate therapy, smoking, diabetes, and obesity [3, PDF p.1392]. The actual incidence is genuinely low for most patients on oral bisphosphonates — estimated at zero to roughly 1 in 2,260 cases, with dental extraction itself roughly quadrupling that risk, giving a reasonable upper-bound estimate of about 0.1% for a non-cancer patient — though one retrospective study using an electronic dental-school record found a much higher 4% risk specifically with alendronate sodium (a finding the source flags as possibly confounded by inadequate control of other variables in that particular study design). Risk is categorically higher with intravenous bisphosphonates (zoledronic acid, pamidronate): roughly 20% of patients on IV bisphosphonate therapy may develop MRONJ, and a systematic review found MRONJ prevalence in cancer patients specifically ranging from 0.7% to 13.3% — with the higher-quality studies in that review, counterintuitively, reporting the highest prevalence figures, a genuine caution against assuming better study design would reveal a lower true risk [3, PDF p.1392].</w:t>
      </w:r>
    </w:p>
    <w:p>
      <w:r>
        <w:rPr>
          <w:b w:val="0"/>
          <w:i w:val="0"/>
        </w:rPr>
        <w:t>The clinical decision logic this risk factor drives is genuinely specific, not merely "be more careful": because untreated periapical pathosis may itself exacerbate or increase MRONJ risk, "no treatment" is never a viable option in a bisphosphonate patient, and nonsurgical retreatment should usually be the first choice, especially for a patient with a history of IV bisphosphonate use or other risk factors. When surgery becomes necessary despite this, conservative technique, primary tissue closure, and perioperative chlorhexidine rinses are recommended, and bisphosphonates should not be discontinued before treatment — given the drug class's long skeletal half-life, stopping it shortly before a procedure provides no measurable protective benefit and only removes the drug's own intended benefit during the interruption [3, PDF pp.1392-1393]. A genuinely unresolved question, worth stating honestly rather than glossing over, is whether surgery or extraction itself carries the lower MRONJ risk in a given at-risk patient when both are clinically viable — the general principle is to choose whichever procedure most predictably eliminates the periradicular inflammation with the least surgical trauma, rather than a fixed rule favoring one approach [3, PDF p.1393]. Serum C-terminal cross-linking telopeptide (CTX) has been proposed as a predictive marker for individual MRONJ risk, but the evidence for this is genuinely mixed: one study found no association between lower CTX levels and increased MRONJ risk despite CTX being reliably lower in bisphosphonate-treated patients as expected, and the same study found no increased risk from once-yearly 5 mg zoledronic acid dosing compared with controls — CTX-based risk stratification should be treated as an unvalidated, investigational tool rather than a decision-making standard [3, PDF p.1393]. (BRONJ/MRONJ management once established is covered from the complications side in Sub-Module 5.6.)</w:t>
      </w:r>
    </w:p>
    <w:p>
      <w:pPr>
        <w:pStyle w:val="Heading3"/>
      </w:pPr>
      <w:r>
        <w:t>5.1.5c Systemic and Behavioral Factors Affecting Healing</w:t>
      </w:r>
    </w:p>
    <w:p>
      <w:r>
        <w:rPr>
          <w:b w:val="0"/>
          <w:i w:val="0"/>
        </w:rPr>
        <w:t>Beyond the specific medical conditions already covered, several systemic and behavioral factors affect surgical healing through real, identifiable biologic mechanisms rather than as vague generic risk. Diabetes disrupts wound healing through inflammation, growth factor imbalance, altered saliva composition, and increased matrix metalloproteinase activity, which together prolong inflammation and delay healing; specific to bone, high glucose levels increase osteoclast numbers while inhibiting fibroblast and osteoblast expansion and progenitor cell proliferation, suppress the transcription factors responsible for osteoblast formation, and reduce growth factor expression needed for osteogenesis — the clinical implication is that diabetic patients should be medically optimized before any elective surgical procedure, not simply screened for diagnosis alone [6, p.805]. Smoking similarly impairs oral wound healing through multiple independent mechanisms, and acute alcohol exposure — even a single episode — measurably reduces wound angiogenesis and suppresses the early inflammatory response needed for normal healing, increasing infection risk; chronic alcohol exposure impairs healing and host resistance to infection as well, though the specific mechanisms there remain less well characterized [6, p.805]. Age itself is a real, independent factor distinct from the comorbidities that accumulate with it: older adults heal wounds more slowly even after controlling for medication use and other health conditions, through mechanisms including increased platelet aggregation, elevated inflammatory mediators, impaired macrophage and lymphocyte function, reduced growth factor levels, and delayed re-epithelialization [6, p.804]. These mechanistic details are a genuinely useful complement to Sub-Module 5.7's later finding that age and sex showed little pooled effect on surgical outcome in meta-analysis — the biologic mechanisms for age- and comorbidity-driven impairment are real, but they evidently do not translate into a detectable difference in pooled surgical success rates, a real and somewhat counterintuitive tension worth holding onto rather than resolving artificially in either direction.</w:t>
      </w:r>
    </w:p>
    <w:p>
      <w:pPr>
        <w:pStyle w:val="Heading3"/>
      </w:pPr>
      <w:r>
        <w:t>5.1.5d Decision Algorithm and the Role of Cost in Treatment Choice</w:t>
      </w:r>
    </w:p>
    <w:p>
      <w:r>
        <w:rPr>
          <w:b w:val="0"/>
          <w:i w:val="0"/>
        </w:rPr>
        <w:t>Lieblich's account, written from an oral surgeon's perspective, makes explicit a structured decision sequence that Torabinejad's own treatment-planning framework (5.1.1) implies but does not spell out step-by-step: for a symptomatic, previously treated tooth, the first branch point is whether the tooth can be retreated nonsurgically and whether the patient will accept retreatment; if retreatment is not possible or not accepted, the next branch is evidence of a crack or fracture, periodontal status (less than 25% vertical bone loss, pocket depth under 5 mm), and whether the tooth serves as an abutment for an existing prosthesis and has adequate remaining tooth structure to support one; only once these are satisfied does surgical exploration proceed, with intraoperative fracture findings determining whether root resection or extraction is required instead [5, p.123]. Roughly 3% of teeth referred for apical surgery have a purely technical (rather than biologic/infectious) cause — a broken instrument, transported apex, perforation, or ledge — and this author's own clinical impression is that these technical-cause cases have a higher success rate than the majority of cases where the cause is a persistent coronal-seal failure and ongoing bacterial leakage [5, p.121].</w:t>
      </w:r>
    </w:p>
    <w:p>
      <w:r>
        <w:rPr>
          <w:b w:val="0"/>
          <w:i w:val="0"/>
        </w:rPr>
        <w:t>Economics genuinely enters the decision, not merely as an aside: when a tooth already carries a recently placed, otherwise well-functioning restoration — particularly a fixed partial denture abutment — surgery is often the more practical recommendation over retreatment specifically because it avoids disassembling a functioning prosthesis, and if surgery does not resolve the symptoms, the patient has only lost the additional time, risk, and expense of the surgical portion rather than also losing the restoration [5, p.124]. Cohen's corroborates the same economic logic from the other direction and adds a real comparative outcome figure: one study found endodontic microsurgery to be the most cost-effective option among nonsurgical retreatment, extraction with a fixed partial denture, and extraction with a single implant, for management of persistent periapical disease specifically [3, PDF p.1382]. Implant survival benchmarks are worth knowing as the actual comparator, not an assumed gold standard: a meta-analysis found 93% implant survival at 5 years, with routinely reported 5- to 10-year success in the 90-97% range depending on location — genuinely comparable to, not clearly superior to, the success rates now achievable with modern endodontic microsurgery (94% for microsurgery versus 59% for traditional technique, per the same systematic review already cited in 5.1.1) [3, PDF pp.1382-1383]. Practice-pattern data is worth citing as context for how central this procedure actually is: surgical treatment accounts for roughly 3-10% of a typical endodontic specialty practice, a web-based survey found 91% of active endodontists perform some form of root-end surgery (almost all using an operating microscope and ultrasonics), and endodontists perform roughly 78% of all surgical root canal treatments, with general dentists and other specialists performing 15.5% and 6.6% respectively [3, PDF p.1374].</w:t>
      </w:r>
    </w:p>
    <w:p>
      <w:pPr>
        <w:pStyle w:val="Heading3"/>
      </w:pPr>
      <w:r>
        <w:t>5.1.6 Role of CBCT in Case Selection and Treatment Planning</w:t>
      </w:r>
    </w:p>
    <w:p>
      <w:r>
        <w:rPr>
          <w:b w:val="0"/>
          <w:i w:val="0"/>
        </w:rPr>
        <w:t>Periapical, bitewing, and panoramic radiographs remain the imaging modality of choice for routine endodontic evaluation, per the 2015 joint AAE/AAOMR (American Association of Endodontists / American Academy of Oral and Maxillofacial Radiology) statement [1, p.97; 2, p.181]. However, two-dimensional imaging has intrinsic limitations for surgical case selection specifically: elongation, foreshortening, magnification, and overlapping of anatomical structures can all distort the true three-dimensional relationship between a lesion and structures such as the inferior alveolar canal, mental foramen, or maxillary sinus [1, p.97].</w:t>
      </w:r>
    </w:p>
    <w:p>
      <w:r>
        <w:rPr>
          <w:b w:val="0"/>
          <w:i w:val="0"/>
        </w:rPr>
        <w:t>Cone beam computed tomography (CBCT), introduced by Dr. Yoshinori Arai in 1997 as a dedicated small-volume scanner for the maxillofacial complex, addresses this by providing submillimeter three-dimensional visualization without the superimposition inherent to 2D imaging [1, pp.97-98]. Per the same AAE/AAOMR 2015 statement, small-volume high-resolution CBCT should specifically be considered the imaging modality of choice for two surgically relevant scenarios: evaluating nonhealing after previous endodontic treatment, to help decide between nonsurgical retreatment, surgery, or extraction; and presurgical treatment planning itself, to localize the root apex/apices and evaluate proximity to adjacent anatomical structures [1, p.98]. Harty's independently confirms the same clinical role: CBCT's three-dimensional images allow precise definition of a lesion's extent and location that traditional radiographs cannot reliably provide, particularly when the lesion's relationship to the inferior dental canal, mental foramen, maxillary sinus, or adjacent roots is in question [2, p.181].</w:t>
      </w:r>
    </w:p>
    <w:p>
      <w:r>
        <w:rPr>
          <w:b w:val="0"/>
          <w:i w:val="0"/>
        </w:rPr>
        <w:t>This benefit is not without a real, quantifiable tradeoff. CBCT scans used in endodontics deliver a radiation dose of roughly 20–100 microsieverts — low in absolute terms relative to medical CT, but not zero — and CBCT billing and insurance reimbursement were, as of the source's publication, still unresolved in US dental practice [1, p.99]. CBCT images are also susceptible to genuine artifacts that can themselves compromise surgical planning if not recognized: patient-movement artifact (blurring, double cortication) and beam-hardening/scatter artifact around metal restorations, implants, root canal-filled teeth, and orthodontic appliances, both of which can mask the very anatomical or pathologic findings the scan was ordered to reveal [1, p.99]. The clinical conclusion both sources reach is the same: CBCT should be used selectively, when the diagnostic benefit clearly outweighs these costs, rather than as a routine substitute for periapical radiography in every surgical case.</w:t>
      </w:r>
    </w:p>
    <w:p>
      <w:pPr>
        <w:pStyle w:val="Heading3"/>
      </w:pPr>
      <w:r>
        <w:t>5.1.7 Informed Consent, Benefits, and Risks</w:t>
      </w:r>
    </w:p>
    <w:p>
      <w:r>
        <w:rPr>
          <w:b w:val="0"/>
          <w:i w:val="0"/>
        </w:rPr>
        <w:t>Informed consent for surgery must go beyond the general consent process used for nonsurgical treatment: the patient must be informed not only of the prognosis for a successful outcome, but explicitly of the risks involved in the surgical procedure itself and the possible short-term effects — pain, swelling, discoloration/bruising, and infection — in addition to the benefits [1, p.91]. The principal benefit of surgical endodontics, as with nonsurgical retreatment, is retention of the patient's natural dentition and avoidance of extraction; the principal risks specific to the surgical route are damage to gingival tissue and postsurgical scar tissue formation, along with complications such as bruising and paresthesia [1, p.94]. A signed consent form, witnessed by a third party, becomes part of the patient's permanent record, and any subsequent change to the treatment plan must be documented and re-consented in the same way [1, p.86].</w:t>
      </w:r>
    </w:p>
    <w:p>
      <w:pPr>
        <w:pStyle w:val="Heading3"/>
      </w:pPr>
      <w:r>
        <w:t>5.1.8 A Brief Note on the History of Surgical Endodontics</w:t>
      </w:r>
    </w:p>
    <w:p>
      <w:r>
        <w:rPr>
          <w:b w:val="0"/>
          <w:i w:val="0"/>
        </w:rPr>
        <w:t>Surgical endodontics is not a recent development — root amputation was first described by Farrar in 1884, and apicoectomy by Black in 1886; subsequent decades added flap design, fistulation, amalgam as a root-end filling material, and eventually the systematic study of surgical failure causes [1, p.89]. What has genuinely changed over the past roughly 20 years, and what underlies the shift toward nonsurgical-first case selection described in 5.1.1, is not the basic surgical concept but the armamentarium and evidence base around it: the operating microscope, purpose-built microsurgical instruments, and modern root-end filling materials (covered in Sub-Modules 5.3 and 5.4) have together moved surgical endodontics from a largely empirical practice to one with a genuinely predictable, evidence-based outcome profile — which is precisely what has allowed its indications to narrow rather than expand [1, p.88].</w:t>
      </w:r>
    </w:p>
    <w:p>
      <w:pPr>
        <w:pStyle w:val="Heading1"/>
      </w:pPr>
      <w:r>
        <w:t>References</w:t>
      </w:r>
    </w:p>
    <w:p>
      <w:r>
        <w:rPr>
          <w:b w:val="0"/>
          <w:i w:val="0"/>
        </w:rPr>
        <w:t>[1] Torabinejad M, Rubinstein R, eds. The Art and Science of Contemporary Surgical Endodontics. Hanover Park, IL: Quintessence Publishing, 2019.</w:t>
      </w:r>
    </w:p>
    <w:p>
      <w:r>
        <w:rPr>
          <w:b w:val="0"/>
          <w:i w:val="0"/>
        </w:rPr>
        <w:t>[2] Berman LH, Hargreaves KM, et al. Harty's Endodontics in Clinical Practice, 7th ed. Edinburgh: Elsevier; 2021. Ch.10, "Surgical Endodontics."</w:t>
      </w:r>
    </w:p>
    <w:p>
      <w:r>
        <w:rPr>
          <w:b w:val="0"/>
          <w:i w:val="0"/>
        </w:rPr>
        <w:t>[3] Torabinejad M, Fouad AF, Shabahang S, eds. Cohen's Pathways of the Pulp, 12th ed. St. Louis: Elsevier; 2021. Ch.11, "Periradicular Surgery" (Johnson BR, Fayad MI, Berman LH).</w:t>
      </w:r>
    </w:p>
    <w:p>
      <w:r>
        <w:rPr>
          <w:b w:val="0"/>
          <w:i w:val="0"/>
        </w:rPr>
        <w:t>[4] Gopikrishna V, ed. Grossman's Endodontic Practice, 14th ed. New Delhi: Wolters Kluwer; 2021. Ch.22, "Endodontic Surgery."</w:t>
      </w:r>
    </w:p>
    <w:p>
      <w:r>
        <w:rPr>
          <w:b w:val="0"/>
          <w:i w:val="0"/>
        </w:rPr>
        <w:t>[5] Lieblich SE. Endodontic Surgery. Dent Clin North Am 2012;56(1):121-132.</w:t>
      </w:r>
    </w:p>
    <w:p>
      <w:r>
        <w:rPr>
          <w:b w:val="0"/>
          <w:i w:val="0"/>
        </w:rPr>
        <w:t>[6] Fatahzadeh M, Ravi A, Thomas P, Ziccardi VB. Systemic Factors Affecting Healing in Dentistry. Dent Clin North Am 2024;68(4):799-812.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