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5.3: Periradicular Surgery Technique</w:t>
      </w:r>
    </w:p>
    <w:p>
      <w:r>
        <w:rPr>
          <w:b/>
          <w:i w:val="0"/>
        </w:rPr>
        <w:t>Module 2 — Endodontics, Sub-Module 5: Surgical Endodontics</w:t>
      </w:r>
    </w:p>
    <w:p>
      <w:pPr>
        <w:pStyle w:val="Heading1"/>
      </w:pPr>
      <w:r>
        <w:t>Note on Sources</w:t>
      </w:r>
    </w:p>
    <w:p>
      <w:r>
        <w:rPr>
          <w:b w:val="0"/>
          <w:i w:val="0"/>
        </w:rPr>
        <w:t>Built from Torabinejad M, Rubinstein R (eds). The Art and Science of Contemporary Surgical Endodontics — Chapter 8 "Local Anesthesia and Hemostasis" (Johnson, Abedi) and Chapter 10 "Apical Microsurgery: Application of Armamentaria, Materials, and Methods" (Rubinstein, Fayad). These two dedicated chapters cover, respectively, the pharmacologic and hemostatic groundwork for surgery and the full step-by-step technique from flap reflection through apical (root-end) preparation, and together they map directly onto this sub-module's scope. Root-end filling materials and placement are deliberately deferred to Sub-Module 5.4, and suturing/wound closure to Sub-Module 5.6, to avoid overlap with those dedicated files.</w:t>
      </w:r>
    </w:p>
    <w:p>
      <w:r>
        <w:rPr>
          <w:b w:val="0"/>
          <w:i w:val="0"/>
        </w:rPr>
        <w:t>**Audit update**: following a user-requested audit against Cohen's Pathways of the Pulp (12th ed.), Ingle's Endodontics (7th ed.), and Grossman's Endodontic Practice (14th ed.), Cohen's Ch.11 "Periradicular Surgery" (Johnson, Fayad, Berman) and Ingle's Ch.24 "Surgical Endodontics" were both confirmed genuinely additive and added as further sources — Cohen's supplies bone-heat-injury thresholds, resected-root-surface topography data, root-end conditioning chemistry (citric acid/EDTA/tetracycline), and an apical-fracture classification system for ultrasonic preparation that Torabinejad's chapter does not cover at the same depth; Ingle's supplies outcome data on osteotomy size versus healing speed. Grossman's Ch.22 was checked directly and found to restate technique already covered (the Impact Air 45 handpiece, the 3 mm resection rule, standard curette selection) without adding new substance — noted transparently. A DCNA-collection audit separately confirmed three further genuinely additive articles: Niemczyk's "Essentials of Endodontic Microsurgery" (Dent Clin North Am 2010) for microscope/patient ergonomic positioning and resection technique detail not covered by any textbook source in this file; Ogle et al's "Hemostatic Agents" (Dent Clin North Am 2011) for newer hemostatic products (Ostene, ActCel, Gelitacel, FloSeal) absent from Torabinejad's own hemostasis list; and Floratos &amp; Kim's "Modern Endodontic Microsurgery Concepts" (Dent Clin North Am 2017) for the "inspection" stage as its own distinct step and osteotomy-size-to-healing-time data.</w:t>
      </w:r>
    </w:p>
    <w:p>
      <w:r>
        <w:rPr>
          <w:b w:val="0"/>
          <w:i w:val="0"/>
        </w:rPr>
        <w:t>Citation convention: Torabinejad's confirmed offset (marker−13 = printed page) — cited as `[1, p.X]`. Cohen's has no recoverable printed folio in this extraction — uses the PDF-page fallback convention: `[2, PDF p.X]`. Ingle's offset for this chapter was locally re-verified (marker+89 = printed page, confirmed at five separate points) — cited as `[3, p.X]`. Niemczyk's, Ogle's, and Floratos &amp; Kim's DCNA articles have real printed pagination — cited as `[4, p.X]`, `[5, p.X]`, and `[6, p.X]` respectively.</w:t>
      </w:r>
    </w:p>
    <w:p>
      <w:pPr>
        <w:pStyle w:val="Heading2"/>
      </w:pPr>
      <w:r>
        <w:t>5.3 Periradicular Surgery Technique</w:t>
      </w:r>
    </w:p>
    <w:p>
      <w:pPr>
        <w:pStyle w:val="Heading3"/>
      </w:pPr>
      <w:r>
        <w:t>5.3.1 From Case Selection to the Operating Field</w:t>
      </w:r>
    </w:p>
    <w:p>
      <w:r>
        <w:rPr>
          <w:b w:val="0"/>
          <w:i w:val="0"/>
        </w:rPr>
        <w:t>Preoperative CBCT interpretation (Sub-Module 5.1) is not a diagnostic formality — it directly determines the specifics of the technique that follows. Knowing in advance that the buccal cortical plate is thick and the root is lingually positioned changes armamentarium selection; knowing that the mental nerve sits close to the apex shifts the planned root-end resection more coronally to avoid paresthesia; and in a maxillary molar with periapical disease on more than one root, a coronal CBCT view showing that the palatal lesion is more accessible palatally and the buccal lesion buccally allows the surgeon to plan both a buccal and a palatal flap in advance, rather than discovering the need intraoperatively [1, pp.156-158]. CBCT is equally valuable for ruling surgery out: when the coronal view shows a root lying directly against the lingual cortical plate with no practical surgical access, orthograde retreatment, intentional replantation, or extraction with implant replacement is the better choice, and proceeding surgically despite this would risk entombing infected tissue rather than resolving it [1, p.159].</w:t>
      </w:r>
    </w:p>
    <w:p>
      <w:pPr>
        <w:pStyle w:val="Heading3"/>
      </w:pPr>
      <w:r>
        <w:t>5.3.2 Local Anesthesia and Vasoconstrictor Selection</w:t>
      </w:r>
    </w:p>
    <w:p>
      <w:r>
        <w:rPr>
          <w:b w:val="0"/>
          <w:i w:val="0"/>
        </w:rPr>
        <w:t>Endodontic microsurgery differs from most other oral surgical procedures in one important respect: the primary reason for achieving excellent hemostasis is not merely patient comfort but the need for a genuinely blood-free field to allow visualization, placement of root-end filling material, and inspection for root fractures under the operating microscope [1, p.134]. Profound local anesthesia with a vasoconstrictor is the first and most important step toward this goal. Epinephrine is the vasoconstrictor of choice, owing to less alpha-receptor stimulation compared with norepinephrine or levonordefrin [1, p.135]. A direct clinical comparison in periodontal flap surgery found that 1:100,000 epinephrine produced roughly twice the blood loss of 1:50,000 epinephrine — supporting the use of 1:50,000 epinephrine infiltrated directly into the surgical field for hemostasis, even though this concentration has little or no additional value for a routine block injection, where it mainly adds tachycardia and anxiety risk rather than local hemostatic benefit [1, pp.135-136].</w:t>
      </w:r>
    </w:p>
    <w:p>
      <w:pPr>
        <w:pStyle w:val="Heading3"/>
      </w:pPr>
      <w:r>
        <w:t>5.3.2b Local Anesthesia: Block Technique and Sequencing</w:t>
      </w:r>
    </w:p>
    <w:p>
      <w:r>
        <w:rPr>
          <w:b w:val="0"/>
          <w:i w:val="0"/>
        </w:rPr>
        <w:t>Niemczyk's account of anesthesia technique adds a genuinely distinct layer — the regional block protocol that precedes the local infiltration already covered above, and the rationale for choosing a long-acting agent for it. A long-acting agent such as bupivacaine is used as the initial block specifically to sustain anesthesia beyond the surgery's own duration: for posterior sites, this means a posterior and middle superior alveolar block for the maxilla, or an inferior alveolar block supplemented with a mental nerve trunk block for the mandible; anterior sites use bilateral anterior superior alveolar or infraorbital injections (maxilla) or bilateral mental nerve blocks (mandible), each supplemented with palatal or lingual infiltration as needed [4, p.376]. Lidocaine has a faster onset of lip numbness, but bupivacaine specifically reduces postoperative pain for a longer period after surgery — the proposed mechanism is that it limits the peripheral barrage of nociceptive signaling that would otherwise drive central sensitization (the neurophysiologic basis of allodynia and hyperalgesia), and this effect is further enhanced by preoperative NSAID administration. The block should be allowed 8 to 10 minutes to take full effect, with anesthesia confirmed before the next phase of surgery begins — only after this is the local infiltration with 1:50,000 epinephrine performed over the intended flap, injected slowly (1-2 minutes per mL) to allow diffusion and avoid a submucosal bolus, with visible blanching confirming correct placement; injecting into skeletal muscle by mistake activates beta-adrenergic receptors and causes vasodilation instead of the intended vasoconstriction, producing unexpected hemorrhage on flap reflection [4, pp.376-377].</w:t>
      </w:r>
    </w:p>
    <w:p>
      <w:pPr>
        <w:pStyle w:val="Heading3"/>
      </w:pPr>
      <w:r>
        <w:t>5.3.3 Flap Reflection and Retraction</w:t>
      </w:r>
    </w:p>
    <w:p>
      <w:r>
        <w:rPr>
          <w:b w:val="0"/>
          <w:i w:val="0"/>
        </w:rPr>
        <w:t>Full-thickness flaps for apical microsurgery are raised with instruments specifically scaled to avoid trauma to the delicate interdental papilla. A standard Molt 2/4 curette, even at its smaller working-end diameter (3.5 mm), is too large to pass beneath the papilla without tearing it under magnification — Rubinstein Mini-Molts (2 mm working ends) and similarly scaled periosteal elevators (PR-1, PR-2) were developed specifically to allow atraumatic flap reflection, producing more favorable cosmetic outcomes [1, pp.162-163]. Retraction instruments follow the same logic: a Minnesota retractor held under sustained pressure restricts blood flow to the operator's own fingers and is genuinely uncomfortable over a long procedure, while purpose-built retractor sets with flat, notched, or recessed serrated contact surfaces allow secure, low-fatigue placement over specific anatomical landmarks — the nasal spine, canine eminence, or mental nerve — reducing the risk of slippage and consequent flap trauma [1, p.163]. Vertical releasing incisions in microsurgery are made 1.5 to 2 times longer than in conventional apical surgery specifically to keep the reflected flap out of the operating microscope's light path [1, p.162].</w:t>
      </w:r>
    </w:p>
    <w:p>
      <w:pPr>
        <w:pStyle w:val="Heading3"/>
      </w:pPr>
      <w:r>
        <w:t>5.3.3b Microscope and Patient Ergonomics</w:t>
      </w:r>
    </w:p>
    <w:p>
      <w:r>
        <w:rPr>
          <w:b w:val="0"/>
          <w:i w:val="0"/>
        </w:rPr>
        <w:t>A genuinely practical layer missing from a purely instrument-focused account of flap reflection is the physical positioning of the patient, surgeon, and microscope relative to each other — Niemczyk's survey found that almost 77% of practitioners reported real difficulty with access and visualization using the operating microscope, making this a documented, common problem rather than a minor technique footnote [4, p.379]. In endodontic surgery, what matters is not the patient's overall position but the orientation of the root apex and surgical field itself: the patient is placed supine to slightly Trendelenburg so the osteotomy site is the most superior point in the field, the surgeon sits at the 11-to-12-o'clock position with the thigh-to-lower-leg angle at a minimum of 90 degrees and elbows held close to the body at a neutral 90-degree bend, and the microscope's visual axis is positioned perpendicular to the soft tissue field [4, pp.379-380]. Retractors must contact the cortical plate directly (to avoid inadvertent impingement on the mental nerve or other vital structures) and should create only a narrow access corridor bordered by the flap edges — narrower than in general oral surgery — which both limits soft tissue trauma and reduces desiccation of the exposed cortical plate [4, p.380].</w:t>
      </w:r>
    </w:p>
    <w:p>
      <w:r>
        <w:rPr>
          <w:b w:val="0"/>
          <w:i w:val="0"/>
        </w:rPr>
        <w:t>A further, genuinely load-bearing technique point: the microscope's visual axis (MVA) must be kept parallel to the root's long axis (RLA) at the level selected for resection — when the two are misaligned, the resection itself follows the surgeon's line of sight rather than the true root axis, producing an unintentionally angled cut. Site-specific positioning guidance differs by quadrant: in maxillary anterior surgery the microscope head is tilted slightly off vertical from crown toward apex to avoid the handpiece head obscuring the bur tip; in mandibular anterior surgery, having the patient elevate the chin can often substitute for reclining them to an uncomfortable angle; and in posterior surgery (maxillary or mandibular), failing to present the cortical plate parallel to the floor risks a misdirected "tunneling" osteotomy that can damage adjacent roots or structures [4, pp.381-383].</w:t>
      </w:r>
    </w:p>
    <w:p>
      <w:pPr>
        <w:pStyle w:val="Heading3"/>
      </w:pPr>
      <w:r>
        <w:t>5.3.4 Osteotomy</w:t>
      </w:r>
    </w:p>
    <w:p>
      <w:r>
        <w:rPr>
          <w:b w:val="0"/>
          <w:i w:val="0"/>
        </w:rPr>
        <w:t>Because the operating microscope improves visualization, osteotomy can be more conservative than in unmagnified surgery — the goal is an opening as small as practical without impairing wound healing, yet large enough for complete debridement of the bony crypt and the root-end procedures that follow [1, p.164]. When apical periodontitis has not yet perforated the cortical plate, a preoperative CBCT scan combined with a premeasured file positioned over the tooth allows the surgeon to visualize the exact location of the root terminus before cutting. The osteotomy is then initiated with gentle brushstrokes slightly coronal to the expected root end (to avoid encroaching on nearby anatomical structures), periodically checked with a DG16 explorer for penetration into the lesion, and enlarged peripherally once the root, lesion, and bony crypt are visualized [1, p.164]. Handpieces such as the Impact Air 45, adapted from oral surgery, direct the water spray into the field while venting the air stream out the back of the handpiece — reducing splatter and, because there is no pressurized air or water forced into the wound, reducing the risk of surgical emphysema, compared with conventional high-speed handpieces [1, p.163].</w:t>
      </w:r>
    </w:p>
    <w:p>
      <w:pPr>
        <w:pStyle w:val="Heading3"/>
      </w:pPr>
      <w:r>
        <w:t>5.3.4b The Biology of Heat Injury During Osteotomy</w:t>
      </w:r>
    </w:p>
    <w:p>
      <w:r>
        <w:rPr>
          <w:b w:val="0"/>
          <w:i w:val="0"/>
        </w:rPr>
        <w:t>The basic instruction to use "copious irrigation and a brushstroke technique" during osteotomy rests on real, quantified bone-heat-injury thresholds worth knowing explicitly rather than taking on faith. Heating osseous tissue to 47-50°C for 1 minute significantly reduces bone formation and causes irreversible cellular damage with fatty infiltration; blood flow initially increases as temperature rises above 40°C but then stagnates once 46°C is sustained for 2 minutes; and 56°C deactivates alkaline phosphatase outright [2, PDF p.1440]. Critically, the relationship between temperature and exposure time is not linear: above 42.5°C, every additional 1°C rise roughly halves the exposure time needed to produce the same degree of injury, so that 47°C for 1 minute and 48°C for 30 seconds produce comparable damage, and temperatures above 53°C can injure osteogenesis in under 1 second — meaning a seemingly small increase in either temperature or dwell time can cross the injury threshold much faster than intuition suggests [2, PDF p.1440].</w:t>
      </w:r>
    </w:p>
    <w:p>
      <w:r>
        <w:rPr>
          <w:b w:val="0"/>
          <w:i w:val="0"/>
        </w:rPr>
        <w:t>Bur shape and material meaningfully change how much heat is generated for a given amount of bone removed. The round bur, used with a gentle brushstroke, is the most favorable shape — it allows coolant to reach the actual cutting surface and produces less inflammation and faster healing than a fissure bur, whose tip cuts inefficiently because coolant cannot reach it. A diamond bur is explicitly the least favorable choice for osseous tissue: its larger surface area blocks coolant access and clogs with bone fragments, generating more heat, more inflammation, and slower healing than either alternative [2, PDF p.1440]. Excess pressure during cutting compounds this by burrowing the bur into bone where irrigant cannot reach it at all, pushing temperatures above 100°C in the worst case — the gentle brushstroke technique exists specifically to prevent this failure mode, not merely as a generic instruction to "be gentle" [2, PDF pp.1440-1441].</w:t>
      </w:r>
    </w:p>
    <w:p>
      <w:r>
        <w:rPr>
          <w:b w:val="0"/>
          <w:i w:val="0"/>
        </w:rPr>
        <w:t>Osteotomy size itself, independent of technique, is an outcome-modifying variable — a genuinely different point from the heat-injury mechanics above. Boyne's comparison of 21 anterior periapical defects (with at least one cortical plate intact) found complete bone regeneration significantly more often in smaller (5-8 mm) defects than larger (9-12 mm) ones, which instead showed fibrous-tissue herniation; Hjorting-Hansen and Andreasen's animal study similarly found complete healing in defects around 5 mm or less when one cortical plate remained intact, with incomplete, fibrous healing when both plates were removed — smaller osteotomies genuinely heal more predictably, which is the biologic rationale (not merely an ergonomic preference) behind microsurgery's much smaller osteotomy size compared with traditional technique [3, p.817]. Floratos and Kim quantify this relationship further for modern microsurgery, where the osteotomy diameter is typically only 3 to 4 mm — just enough for a 3 mm ultrasonic tip to vibrate freely: lesions smaller than 5 mm healed in an average of 6.4 months, 6-10 mm lesions in 7.25 months, and lesions larger than 10 mm in 11 months — a direct, monotonic relationship between lesion size and healing time that reinforces why the standing instruction is to keep the osteotomy "as small as possible but as large as necessary," not simply as small as technically achievable [6, p.82].</w:t>
      </w:r>
    </w:p>
    <w:p>
      <w:pPr>
        <w:pStyle w:val="Heading3"/>
      </w:pPr>
      <w:r>
        <w:t>5.3.5 Periapical Curettage and Biopsy</w:t>
      </w:r>
    </w:p>
    <w:p>
      <w:r>
        <w:rPr>
          <w:b w:val="0"/>
          <w:i w:val="0"/>
        </w:rPr>
        <w:t>Under the operating microscope, bony margins can be scrutinized directly for completeness of soft tissue removal — a Columbia 13/14 curette, being curved, is recommended for small bony crypts because it can reach the lingual aspect of a root, and a Jacquette 34/35 scaler, with its sharp edge, is useful for removing residual granulomatous tissue from the junction of the root surface and bony crypt [1, p.164]. Larger lesions are removed with a curette such as a Lucas 85, blunt-dissected from the bony crypt, scooped out with the instrument's concave surface, and delivered to a specimen container. Every tissue specimen removed during surgery must be submitted for histopathologic examination — a surgeon should never accept responsibility for a tissue diagnosis based on clinical impression, color, or consistency alone, since this is the only reliable way to identify the periapical pathology mimickers discussed in Sub-Module 5.1's indications for exploratory surgery [1, p.164]. Any foreign material found in the bony crypt must also be removed, since retained material can cause persistent irritation and prevent complete healing [1, p.164].</w:t>
      </w:r>
    </w:p>
    <w:p>
      <w:pPr>
        <w:pStyle w:val="Heading3"/>
      </w:pPr>
      <w:r>
        <w:t>5.3.6 Intraoperative Hemostasis</w:t>
      </w:r>
    </w:p>
    <w:p>
      <w:r>
        <w:rPr>
          <w:b w:val="0"/>
          <w:i w:val="0"/>
        </w:rPr>
        <w:t>A genuinely blood-free field is required for accurate root-end resection, preparation, and filling, and several local hemostatic agents are used, each with a distinct mechanism and a distinct caveat about removal before wound closure [1, pp.136-137]:</w:t>
      </w:r>
    </w:p>
    <w:p>
      <w:pPr>
        <w:pStyle w:val="ListBullet"/>
      </w:pPr>
      <w:r>
        <w:t>Racemic epinephrine cotton pellets (e.g., Racellet #2) — placed directly in the bony crypt after all granulation tissue is removed, with plain cotton pellets packed on top under pressure and then removed, leaving the epinephrine pellet in place as a physical barrier to oozing. Despite the high local epinephrine concentration, systemic effect is minimal because epinephrine binds alpha-1/alpha-2 receptors and produces rapid local vasoconstriction, limiting systemic uptake — though care must be taken to remove all cotton fibers from the crypt afterward, since retained fibers can themselves interfere with healing.</w:t>
      </w:r>
    </w:p>
    <w:p>
      <w:pPr>
        <w:pStyle w:val="ListBullet"/>
      </w:pPr>
      <w:r>
        <w:t>Calcium sulfate — sets as a physical barrier to bleeding in the crypt and, unlike bone wax, does not inhibit healing; in a small comparative study it outperformed both ferric sulfate and plain cotton gauze for hemostasis.</w:t>
      </w:r>
    </w:p>
    <w:p>
      <w:pPr>
        <w:pStyle w:val="ListBullet"/>
      </w:pPr>
      <w:r>
        <w:t>Absorbable collagen (CollaCote, CollaPlug, CollaTape, HeliCote) — bovine-tendon-derived collagen that triggers platelet aggregation and fibrin clot formation on contact with blood, typically achieving hemostasis within 2 to 6 minutes.</w:t>
      </w:r>
    </w:p>
    <w:p>
      <w:pPr>
        <w:pStyle w:val="ListBullet"/>
      </w:pPr>
      <w:r>
        <w:t>Ferric sulfate — a low-pH hemostatic necrotizing agent that agglutinates tissue proteins to plug capillary orifices; effective in animal studies, but genuinely harmful if any residue is left in the bony crypt, where it produces a foreign body reaction and significantly impairs healing — complete removal before wound closure is essential, not optional.</w:t>
      </w:r>
    </w:p>
    <w:p>
      <w:pPr>
        <w:pStyle w:val="ListBullet"/>
      </w:pPr>
      <w:r>
        <w:t>Surgicel (oxidized regenerated cellulose) — forms a sticky artificial coagulum and has antimicrobial properties from its low pH, but like ferric sulfate should not be left in the wound, since retained material can delay healing.</w:t>
      </w:r>
    </w:p>
    <w:p>
      <w:pPr>
        <w:pStyle w:val="ListBullet"/>
      </w:pPr>
      <w:r>
        <w:t>Bone wax — explicitly not recommended for microsurgical hemostasis despite its historical use, because it provokes a foreign body reaction and impairs clearance of microorganisms from the site; more biocompatible alternatives with equal efficacy are available.</w:t>
      </w:r>
    </w:p>
    <w:p>
      <w:pPr>
        <w:pStyle w:val="ListBullet"/>
      </w:pPr>
      <w:r>
        <w:t>Chitosan-based products (e.g., HemCon) — a naturally occurring polysaccharide hemostatic agent originally developed for battlefield trauma, now cleared for oral surgical use.</w:t>
      </w:r>
    </w:p>
    <w:p>
      <w:r>
        <w:rPr>
          <w:b w:val="0"/>
          <w:i w:val="0"/>
        </w:rPr>
        <w:t>The unifying clinical lesson across nearly every agent on this list is the same: a hemostatic material's value is inseparable from the discipline of removing it completely before closure, since several of the most effective agents (ferric sulfate, Surgicel, Gelfoam) become a source of impaired healing precisely when that step is skipped [1, pp.136-137].</w:t>
      </w:r>
    </w:p>
    <w:p>
      <w:r>
        <w:rPr>
          <w:b w:val="0"/>
          <w:i w:val="0"/>
        </w:rPr>
        <w:t>A newer generation of hemostatic products, developed largely from battlefield-trauma research and only recently adapted for oral and endodontic surgery, is worth knowing alongside the standard list above [5, p.433]:</w:t>
      </w:r>
    </w:p>
    <w:p>
      <w:pPr>
        <w:pStyle w:val="ListBullet"/>
      </w:pPr>
      <w:r>
        <w:t>Ostene — a synthetic, water-soluble alkylene oxide copolymer developed specifically as a bone-wax replacement (FDA-approved 2004). Unlike bone wax, it dissolves within 48 hours rather than persisting indefinitely, does not swell, and its polymer structure inherently reduces bacterial adhesion; in a rabbit tibial defect model it produced a significantly lower rate of osteomyelitis and positive bone culture than bone wax treated the same way. It requires no mixing, is applied straight from its sterile packet at 1-2 mm thickness, and is kneaded to a putty consistency at body temperature.</w:t>
      </w:r>
    </w:p>
    <w:p>
      <w:pPr>
        <w:pStyle w:val="ListBullet"/>
      </w:pPr>
      <w:r>
        <w:t>ActCel and Gelitacel — treated, sterilized cellulose hemostatic meshworks similar in form to Surgicel, but that expand 3-4 times their original size on contact with blood and convert almost immediately to a gel, fully dissolving within 1-2 weeks rather than persisting. A genuinely important safety caution: Surgicel placed directly in the mandibular canal with the inferior alveolar nerve exposed has been reported to cause neurotoxic effects — a real, specific risk worth knowing when choosing a hemostatic agent near the IAN, distinct from Surgicel's general low-pH tissue-reaction profile already noted above.</w:t>
      </w:r>
    </w:p>
    <w:p>
      <w:pPr>
        <w:pStyle w:val="ListBullet"/>
      </w:pPr>
      <w:r>
        <w:t>FloSeal — a proprietary combination of bovine-derived gelatin granules coated with human-derived thrombin, which swell on contact with a bleeding site and work through two independent hemostatic mechanisms simultaneously rather than one.</w:t>
      </w:r>
    </w:p>
    <w:p>
      <w:r>
        <w:rPr>
          <w:b w:val="0"/>
          <w:i w:val="0"/>
        </w:rPr>
        <w:t>The consistent theme across this newer generation is the same one the standard agents already establish: genuine improvement has come largely from solving the retention/removal problem (dissolving predictably on its own) rather than from a fundamentally new hemostatic mechanism [5, pp.435-436].</w:t>
      </w:r>
    </w:p>
    <w:p>
      <w:pPr>
        <w:pStyle w:val="Heading3"/>
      </w:pPr>
      <w:r>
        <w:t>5.3.7 Anticoagulant and Bleeding-Disorder Considerations</w:t>
      </w:r>
    </w:p>
    <w:p>
      <w:r>
        <w:rPr>
          <w:b w:val="0"/>
          <w:i w:val="0"/>
        </w:rPr>
        <w:t>Patients on anticoagulant therapy (warfarin, aspirin and other antiplatelet agents, novel oral anticoagulants, or novel oral antiplatelet drugs) — and patients taking anticoagulant-active herbal supplements such as garlic, ginkgo, ginger, ginseng, feverfew, or fish oil, which patients frequently do not think to report as "drugs" — should, as a general rule, not have their anticoagulant therapy stopped or modified before endodontic microsurgery, since discontinuation raises thromboembolic risk and bleeding can almost always be managed with the local measures above [1, p.135]. For warfarin specifically, the International Normalized Ratio (INR) is the standard activity measure, and bleeding risk is considered minimal within the therapeutic range of 2.0–3.5; because INR can drift, testing on the day of surgery is recommended, and postsurgical antibiotic courses longer than 5 days can themselves raise the INR by disrupting gut flora and vitamin K absorption [1, p.135]. Newer oral anticoagulants are harder to manage from a bleeding-risk standpoint precisely because standardized coagulation assays do not reliably quantify their anticoagulant effect — meaning the surgeon has genuinely less ability to predict bleeding risk in advance compared with a warfarin patient [1, p.135]. Patients with an inherited or acquired bleeding disorder (thrombocytopenia, hemophilia, von Willebrand disease) or impaired liver function require medical consultation before surgery, and may need factor replacement or a platelet transfusion beforehand [1, p.136].</w:t>
      </w:r>
    </w:p>
    <w:p>
      <w:pPr>
        <w:pStyle w:val="Heading3"/>
      </w:pPr>
      <w:r>
        <w:t>5.3.8 Apical (Root-End) Resection</w:t>
      </w:r>
    </w:p>
    <w:p>
      <w:r>
        <w:rPr>
          <w:b w:val="0"/>
          <w:i w:val="0"/>
        </w:rPr>
        <w:t>Root-end resection removes the apical portion of the root housing the anatomic complexity — lateral canals, accessory canals, isthmuses, and the apical delta — that is the actual reason nonsurgical treatment has failed at that site; the consensus recommendation is a 3 mm resection, for two independent reasons [1, p.164]. First, the majority of untreated canal anatomy responsible for treatment failure lies within the apical 3 mm. Second, once ultrasonic root-end preparation is used (5.3.9), a 3 mm resection creates a buffer of sound dentin around the preparation — since the apical 6 mm's greatest root cross-sectional diameter typically occurs at the 3 mm level, resecting here maximizes the dentin available to absorb the ultrasonic energy's mechanical effects, which have been shown to statistically (though not clinically) increase craze lines and microfractures [1, p.164]. Bevel angle has also changed with technique: historically a long bevel was cut to give visual and mechanical access for a microhead handpiece, but with ultrasonic root-end preparation a minimal-to-zero bevel is now preferred, since it cuts fewer dentinal tubules and correspondingly reduces the potential for apical leakage [1, p.165].</w:t>
      </w:r>
    </w:p>
    <w:p>
      <w:r>
        <w:rPr>
          <w:b w:val="0"/>
          <w:i w:val="0"/>
        </w:rPr>
        <w:t>After resection, the beveled root face is examined under magnification with a small explorer (e.g., a CX-1 micro explorer), which can reveal microfractures, missed canal isthmuses, and untreated portals of exit directly on the cut root surface — findings that materially change the extent of preparation required and would not be visible without this inspection step [1, p.165].</w:t>
      </w:r>
    </w:p>
    <w:p>
      <w:r>
        <w:rPr>
          <w:b w:val="0"/>
          <w:i w:val="0"/>
        </w:rPr>
        <w:t>Niemczyk's account quantifies the 3 mm resection rule already introduced above with specific canal-anatomy data: resecting 3 mm from the anatomic apex eliminates 93% of lateral canals and 98% of other ramifications (deltas, fins, and similar anatomy), which — combined with a further 3 mm of root-end preparation depth — effectively addresses 6 mm of the canal system's infectious etiology in total [4, p.386]. Two genuine exceptions to a routine 3 mm resection are worth naming explicitly: a root with significant curvature at that level may need a longer resection, since the 3 mm-long preparation tips cannot follow a curve the way a canal file can, and forcing the tip deeper into a curve risks perforating the external root surface; and a root shortened by resorption has effectively already lost some of that 3 mm involuntarily, so the contralateral tooth's root length can help judge how much further apex, if any, still needs removing [4, pp.385-386]. The resection technique itself matters: Niemczyk likens correct technique to "slicing bread" rather than "chainsawing" — using the bur tip to make progressively deeper passes across the root surface (rather than plunging straight through) both keeps the coolant stream at the cutting interface and creates a guide slot that lets the surgeon correct angle or length before the cut is irreversible [4, p.387].</w:t>
      </w:r>
    </w:p>
    <w:p>
      <w:r>
        <w:rPr>
          <w:b w:val="0"/>
          <w:i w:val="0"/>
        </w:rPr>
        <w:t>A genuinely useful diagnostic sign, visible without any disclosing dye, is what Niemczyk terms the "bow-tie effect": faint lines on the wet, freshly resected root surface that are not fractures but the transitional line angles of the dentinal tubules themselves, visible because tubules refract light differently depending on their orientation to the light source — worth recognizing specifically so it is not mistaken for a crack [4, p.389]. The resected surface should still be inspected with a disclosing solution (methylene blue or a similar nontoxic dye) under the micromirror for incomplete resection (an irregular periodontal ligament outline, or a "dog-eared" projection of dentin), extra roots or canals, and the presence and location of fractures or isthmuses before any preparation begins [4, p.390]. Cohen's adds a controlled comparative data point on which bur produces the cleanest cut: Morgan and Marshall's comparison of a #57 straight fissure bur, a Lindemann bone bur, and a Multi-Purpose bur found the Multi-Purpose bur produced the smoothest, most uniplanar surface with the least shattering, and — regardless of bur choice — moving the handpiece across the root face in reverse to the bur's rotation smears and shreds any gutta-percha present across the cut surface, a technique error worth avoiding on its own merits [2, PDF pp.1454-1455]. Although a genuinely smooth surface has not been shown to improve periodontal ligament fibroblast attachment compared with a rougher one, it is still worth producing, since it is what actually allows the surgeon to detect the cracks and anatomic variations described above in the first place [2, PDF p.1454].</w:t>
      </w:r>
    </w:p>
    <w:p>
      <w:r>
        <w:rPr>
          <w:b w:val="0"/>
          <w:i w:val="0"/>
        </w:rPr>
        <w:t>Root-end conditioning — a step distinct from and following the surface topography work above — treats the resected dentin chemically to remove the smear layer and expose the underlying collagenous matrix, which in vitro enhances fibroblast attachment to the root surface. Three agents have been studied: citric acid (pH 1, applied 1-2 minutes) was the traditional choice and, in the one animal study to test it specifically as a root-end conditioner, produced earlier complete healing than untreated roots — but its low pH risks compromising adjacent vital periodontal tissue, and periodontal literature on the same chemistry has separately found extended application can discourage alveolar bone growth. EDTA, at neutral pH, exposes the same collagenous dentin matrix without the low-pH tissue risk, and periodontal research specifically found that low-pH agents (citric and phosphoric acid) tend to denature the collagenous matrix they expose, while neutral-pH EDTA does not — making EDTA the more defensible choice on that basis, even though it has not itself been directly tested as a root-end conditioner in a surgical endodontic outcome study the way citric acid has. Tetracycline HCl, requiring only 30 seconds of application, also removes the smear layer effectively. A specific, practical caution is worth flagging explicitly: EDTA should not be used when MTA is the planned root-end filling material, since it may interfere with MTA's own hard-tissue-inducing effect — a direct, material-specific interaction between a preparation step (5.3) and a filling material (5.4) that is easy to miss if the two steps are considered in isolation [2, PDF pp.1455-1457].</w:t>
      </w:r>
    </w:p>
    <w:p>
      <w:pPr>
        <w:pStyle w:val="Heading3"/>
      </w:pPr>
      <w:r>
        <w:t>5.3.9 Apical (Root-End) Preparation</w:t>
      </w:r>
    </w:p>
    <w:p>
      <w:r>
        <w:rPr>
          <w:b w:val="0"/>
          <w:i w:val="0"/>
        </w:rPr>
        <w:t>Introduced in the early 1990s, ultrasonic root-end preparation replaced the older technique of a microhead-handpiece Class I cavity and is now the standard approach [1, p.166]. A piezoelectric crystal in the ultrasonic handpiece vibrates at 28,000–40,000 cycles per second; the resulting energy abrades dentin in a single plane (a gentle "brush-cut" motion) while simultaneously thermoplasticizing any gutta-percha present, with continuous irrigation cooling the tip and aiding debridement. Preparation tips run approximately 0.25 mm in diameter and 3 mm long, placed along the root's long axis to create a preparation that encompasses roughly 3 mm of the apical anatomy with parallel walls [1, p.166].</w:t>
      </w:r>
    </w:p>
    <w:p>
      <w:r>
        <w:rPr>
          <w:b w:val="0"/>
          <w:i w:val="0"/>
        </w:rPr>
        <w:t>Gilheany et al's study established the first genuinely quantified guideline for how deep this preparation must be to achieve an adequate apical seal, expressed as a function of bevel angle: 1 mm of preparation depth for a 0-degree bevel, 2.1 mm for a 30-degree bevel, and 2.5 mm for a 45-degree bevel, with a recommended 3.5 mm depth when measured radiographically to allow for error in vertical angulation — a finding that also raises the question of whether an isthmus, being anatomically distinct from a simple canal, should be prepared to a different standard than the main canal space itself [1, p.167].</w:t>
      </w:r>
    </w:p>
    <w:p>
      <w:r>
        <w:rPr>
          <w:b w:val="0"/>
          <w:i w:val="0"/>
        </w:rPr>
        <w:t>The isthmus is a specific focus of this technique because it cannot be reliably cleaned or disinfected by orthograde (nonsurgical) means — Ricucci and Siqueira demonstrated this directly, and Siqueira has proposed that in retreatment cases, microorganisms should be assumed to persist mainly in isthmuses, fins, dentin debris, apical deltas, and root-filling voids, organized as a biofilm that host defenses and orthograde chemotherapy cannot eradicate. Surgical removal of the root segment containing the isthmus, followed by ultrasonic cleaning of the remaining space, is presented as the only mechanism capable of physically disrupting this biofilm — a genuinely distinct rationale for surgery from the indications already covered in Sub-Module 5.1, since it targets a structure that nonsurgical retreatment cannot reach by definition, not merely one it has failed to reach in a given case. Teixeira et al found that most isthmuses occur 3 to 5 mm from the apex, directly consistent with the 3 mm resection-plus-preparation protocol above [1, p.167].</w:t>
      </w:r>
    </w:p>
    <w:p>
      <w:r>
        <w:rPr>
          <w:b w:val="0"/>
          <w:i w:val="0"/>
        </w:rPr>
        <w:t>Whether ultrasonic root-end preparation itself causes apical root fractures is, per Cohen's, "possibly the most controversial question" in this entire technique, and the evidence genuinely does not resolve cleanly in one direction. Cohen's classifies root-end fractures into three types — intracanal (originating in the canal system and extending into dentin), extracanal (originating on the root surface and extending into dentin), and communicating (connecting the two) — though this classification is not used consistently across studies, which itself limits how comparable their findings are [2, PDF p.1460]. In vitro studies are split: several found ultrasonic preparation produces significantly greater strain on the root (measured by strain gauge) than a microhandpiece, without this translating into more visible surface cracks, while several other in vitro studies using different models concluded that ultrasonic preparation does induce apical fractures. In vivo and cadaver-based studies, designed to replicate the clinical scenario more closely, generally did not attribute root fractures to ultrasonic use — possibly because surrounding tissue in a cadaver or living patient disperses ultrasonic energy away from the root tip in a way an isolated extracted tooth cannot. The practical resolution, rather than an unresolved debate left hanging, is that low ultrasonic power settings have been shown to produce fewer fractures in vitro and are recommended for clinical use regardless of which side of the in vitro debate one credits most [2, PDF pp.1460-1461].</w:t>
      </w:r>
    </w:p>
    <w:p>
      <w:r>
        <w:rPr>
          <w:b w:val="0"/>
          <w:i w:val="0"/>
        </w:rPr>
        <w:t>Floratos and Kim frame "inspection" as its own distinct, named stage of modern microsurgery — one they describe as entirely missing from traditional surgical technique, not merely performed less thoroughly. After resection, the root surface is rinsed and dried with a Stropko Irrigator, stained with 1% methylene blue via microapplicator, and examined with a micromirror held at 45 degrees under high magnification (14-25x, higher than any other step in the procedure) — revealing gaps in the existing filling material, missed accessory canals, and the isthmus itself with a level of detail no other step in the procedure provides [6, pp.84-85]. Their isthmus-prevalence figures corroborate Ingle's data already cited in Sub-Module 5.2: an isthmus is present in premolars and molars roughly 80-90% of the time at the 3 mm level. A transmission electron microscopy study of mesial roots of mandibular molars after apical surgery found microorganisms present within the isthmus area in 10 of 11 examined root tips — direct microbiologic evidence, not merely anatomic inference, that the isthmus is what Floratos and Kim call the "Achilles' heel" of conventional (nonsurgical) endodontic treatment, and the specific reason root resection alone, without deliberate isthmus preparation and filling, so often fails [6, p.85].</w:t>
      </w:r>
    </w:p>
    <w:p>
      <w:r>
        <w:rPr>
          <w:b w:val="0"/>
          <w:i w:val="0"/>
        </w:rPr>
        <w:t>Diamond-coated ultrasonic tips are recommended as the final tip used in a preparation sequence: clinical use shows they remove gutta-percha more efficiently than smooth stainless-steel tips, which tend to let softened gutta-percha spin freely rather than engage and remove it, and — contrary to an initial concern — Brent et al found diamond-coated tips do not cause clinically significant additional root-end cracking compared with stainless steel tips [1, p.166]. A practical technique point worth flagging: if resistance is felt while advancing an ultrasonic tip under gentle pressure, the operator should assume the tip has deviated lingually and step back to lower magnification (or the unaided eye) to re-check alignment with the root's long axis — continuing on a lingually deviated path risks perforating the root [1, p.166].</w:t>
      </w:r>
    </w:p>
    <w:p>
      <w:r>
        <w:rPr>
          <w:b w:val="0"/>
          <w:i w:val="0"/>
        </w:rPr>
        <w:t>Piezosurgery, developed in 1998 by the Italian oral surgeon Tomaso Vercellotti, is a related but distinct bone-and-root-cutting technology using piezoelectric ultrasonic vibration and a cavitation-based cutting mechanism restricted to mineralized tissue — meaning soft tissue, nerves, and vessels are protected even when the tip is used close to them. Its tips are roughly three times more powerful than conventional ultrasonic root-end preparation tips, and it maintains a relatively blood-free field through the air-water cavitation effect during cutting itself [1, pp.167-168]. This makes it particularly useful for osteotomy close to critical soft tissue structures — the sinus membrane, major vessels, or nerves — where mechanical or thermal injury must specifically be avoided. Its disadvantages are practical rather than clinical: a significant initial equipment cost, a longer procedure duration than conventional rotary or ultrasonic instrumentation, and manufacturer instructions that commonly advise against use in patients with an implanted cardiac pacemaker [1, p.168].</w:t>
      </w:r>
    </w:p>
    <w:p>
      <w:r>
        <w:rPr>
          <w:b w:val="0"/>
          <w:i w:val="0"/>
        </w:rPr>
        <w:t>Once preparation is complete, the cavity is inspected circumferentially — failure to remove old filling material or debris from the facial wall specifically risks facial-wall leakage and eventual failure if it is sealed over rather than cleaned — then rinsed and dried in preparation for the root-end filling procedures covered in Sub-Module 5.4 [1, p.168].</w:t>
      </w:r>
    </w:p>
    <w:p>
      <w:pPr>
        <w:pStyle w:val="Heading1"/>
      </w:pPr>
      <w:r>
        <w:t>References</w:t>
      </w:r>
    </w:p>
    <w:p>
      <w:r>
        <w:rPr>
          <w:b w:val="0"/>
          <w:i w:val="0"/>
        </w:rPr>
        <w:t>[1] Torabinejad M, Rubinstein R, eds. The Art and Science of Contemporary Surgical Endodontics. Hanover Park, IL: Quintessence Publishing, 2019.</w:t>
      </w:r>
    </w:p>
    <w:p>
      <w:r>
        <w:rPr>
          <w:b w:val="0"/>
          <w:i w:val="0"/>
        </w:rPr>
        <w:t>[2] Torabinejad M, Fouad AF, Shabahang S, eds. Cohen's Pathways of the Pulp, 12th ed. St. Louis: Elsevier; 2021. Ch.11, "Periradicular Surgery" (Johnson BR, Fayad MI, Berman LH).</w:t>
      </w:r>
    </w:p>
    <w:p>
      <w:r>
        <w:rPr>
          <w:b w:val="0"/>
          <w:i w:val="0"/>
        </w:rPr>
        <w:t>[3] Rotstein I, Ingle JI, eds. Ingle's Endodontics, 7th ed. Shelton, CT: PMPH-USA; 2019. Ch.24, "Surgical Endodontics."</w:t>
      </w:r>
    </w:p>
    <w:p>
      <w:r>
        <w:rPr>
          <w:b w:val="0"/>
          <w:i w:val="0"/>
        </w:rPr>
        <w:t>[4] Niemczyk SP. Essentials of Endodontic Microsurgery. Dent Clin North Am 2010;54(2):375-399.</w:t>
      </w:r>
    </w:p>
    <w:p>
      <w:r>
        <w:rPr>
          <w:b w:val="0"/>
          <w:i w:val="0"/>
        </w:rPr>
        <w:t>[5] Ogle OE, Swantek J, Kamoh A. Hemostatic Agents. Dent Clin North Am 2011;55(3):433-439.</w:t>
      </w:r>
    </w:p>
    <w:p>
      <w:r>
        <w:rPr>
          <w:b w:val="0"/>
          <w:i w:val="0"/>
        </w:rPr>
        <w:t>[6] Floratos S, Kim S. Modern Endodontic Microsurgery Concepts: A Clinical Update. Dent Clin North Am 2017;61(1):81-91.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