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Sub-Module 5.5: Other Surgical Procedures</w:t>
      </w:r>
    </w:p>
    <w:p>
      <w:r>
        <w:rPr>
          <w:b/>
          <w:i w:val="0"/>
        </w:rPr>
        <w:t>Module 2 — Endodontics, Sub-Module 5: Surgical Endodontics</w:t>
      </w:r>
    </w:p>
    <w:p>
      <w:pPr>
        <w:pStyle w:val="Heading1"/>
      </w:pPr>
      <w:r>
        <w:t>Note on Sources</w:t>
      </w:r>
    </w:p>
    <w:p>
      <w:r>
        <w:rPr>
          <w:b w:val="0"/>
          <w:i w:val="0"/>
        </w:rPr>
        <w:t>Built primarily from Torabinejad M, Rubinstein R (eds). The Art and Science of Contemporary Surgical Endodontics, Chapter 15 "Adjunctive Procedures" (Torabinejad, Lundgren, Tatakis, Fayad) — a dedicated chapter covering perforation repair, resorptive defect management, tooth replantation and transplantation, root resection, hemisection, and crown lengthening, which together constitute the full scope of this sub-module. Harty's Endodontics in Clinical Practice, 7th ed., Ch.10, supplies complementary material on perforation classification by the "critical crestal zone," a genuinely distinct indications framework for intentional replantation, and a section on guided tissue regeneration (GTR) not covered in the same depth by Torabinejad's chapter.</w:t>
      </w:r>
    </w:p>
    <w:p>
      <w:r>
        <w:rPr>
          <w:b w:val="0"/>
          <w:i w:val="0"/>
        </w:rPr>
        <w:t>**Audit update**: following a user-requested audit against Cohen's Pathways of the Pulp (12th ed.), Ingle's Endodontics (7th ed.), and Grossman's Endodontic Practice (14th ed.), all three were confirmed genuinely additive and added as further sources. Ingle's Ch.19 "Preparation for Treatment" supplies immediate surgical extrusion and rapid orthodontic extrusion as named, distinct techniques with their own indication and outcome literature, and Ch.24 "Surgical Endodontics" supplies bicuspidization (a third resective option entirely absent from the original build), Dean et al's quantified perforation-repair outcome data, and an autotransplantation-specific survival figure distinct from the intentional-replantation figure already cited. Cohen's Ch.25 ("Endo-Perio") supplies vital-root-resection vitality decay data, forced eruption as its own topic, and further GTR outcome numbers; Cohen's Ch.11 supplies a ridge-preservation section entirely new to this file. Grossman's Ch.22 supplies Andreasen and Rud's three-type root-resection repair classification and two genuinely practical sequencing notes (coronal seal timing, crown preparation before root removal).</w:t>
      </w:r>
    </w:p>
    <w:p>
      <w:r>
        <w:rPr>
          <w:b w:val="0"/>
          <w:i w:val="0"/>
        </w:rPr>
        <w:t>Citation convention: Torabinejad's confirmed offset (marker−13 = printed page) — cited as `[1, p.X]`. Harty's confirmed offset (marker−16 = printed page) — cited as `[2, p.X]`. Cohen's has no recoverable printed folio in this extraction — uses the PDF-page fallback convention: `[3, PDF p.X]`. Ingle's offset for Ch.19 was locally verified as marker+58 = printed page (confirmed at multiple points), and for Ch.24 as marker+89 = printed page — a further, direct local confirmation of the standing lesson that offsets drift between chapters of the same book — cited as `[4, p.X]` throughout, with the correct chapter-specific offset applied to each citation. Grossman's confirmed offset (marker−25 = printed page) — cited as `[5, p.X]`.</w:t>
      </w:r>
    </w:p>
    <w:p>
      <w:pPr>
        <w:pStyle w:val="Heading2"/>
      </w:pPr>
      <w:r>
        <w:t>5.5 Other Surgical Procedures</w:t>
      </w:r>
    </w:p>
    <w:p>
      <w:pPr>
        <w:pStyle w:val="Heading3"/>
      </w:pPr>
      <w:r>
        <w:t>5.5.1 Management of Perforations</w:t>
      </w:r>
    </w:p>
    <w:p>
      <w:r>
        <w:rPr>
          <w:b w:val="0"/>
          <w:i w:val="0"/>
        </w:rPr>
        <w:t>Adjunctive surgical procedures repair defects in the root or furcation arising from either procedural accidents (ledge formation, perforation, separated instruments, under-/overfilled canals) or pathologic processes (caries, periodontal lesions, external or internal resorption), and are indicated only once the nonsurgical correction options discussed in Sub-Modules 4.6 and 5.1 have been ruled out [1, p.261].</w:t>
      </w:r>
    </w:p>
    <w:p>
      <w:r>
        <w:rPr>
          <w:b/>
        </w:rPr>
        <w:t xml:space="preserve">DEFINITION — Crown perforation: </w:t>
      </w:r>
      <w:r>
        <w:t>a perforation occurring during access preparation, most often from failing to account for a tooth's axial inclination relative to adjacent teeth and alveolar bone. Treatment depends entirely on the defect's position relative to crestal bone: a defect at or above the crestal bone level can be repaired directly with amalgam, glass ionomer, or composite, with a favorable prognosis. A defect close to crestal bone must first be externalized — by orthodontic root extrusion (generally preferred in the esthetic zone) or surgical crown lengthening (preferred when esthetics are not a concern, or when adjacent teeth already require periodontal surgery) — before a full-coverage crown extending apical to the defect can be placed [1, p.261].</w:t>
      </w:r>
    </w:p>
    <w:p>
      <w:r>
        <w:rPr>
          <w:b/>
        </w:rPr>
        <w:t xml:space="preserve">DEFINITION — Furcation perforation: </w:t>
      </w:r>
      <w:r>
        <w:t>most common in maxillary and mandibular molars with calcified pulp chambers. Nonsurgical internal repair is the first-line approach; surgery is reserved for cases where nonsurgical repair is not possible or has failed. Surgical repair requires a buccal mucoperiosteal flap, complete curettage of the furcation, and repair of the defect — critically, with preservation of the coronal bone, since its loss risks creating a new periodontal defect. When coronal bone is absent, a resorbable membrane helps prevent this outcome; an animal study found excellent healing when the perforation repair was combined with bone graft material and a periodontal membrane, and poor results when the repair was done alone without these adjuncts. If the perforation cannot be surgically accessed or repaired, hemisection, bicuspidization, root amputation, or tooth replantation become the remaining options — with a guarded prognosis overall, since the retained roots remain prone to caries, periodontal disease, and vertical root fracture [1, p.262].</w:t>
      </w:r>
    </w:p>
    <w:p>
      <w:r>
        <w:rPr>
          <w:b w:val="0"/>
          <w:i w:val="0"/>
        </w:rPr>
        <w:t>Root perforations are classified by level — apical, midroot, or coronal — each with a distinct management logic [1, pp.262-265]:</w:t>
      </w:r>
    </w:p>
    <w:p>
      <w:pPr>
        <w:pStyle w:val="ListBullet"/>
      </w:pPr>
      <w:r>
        <w:t>Apical perforation — results from instrumenting beyond the apical constriction. A new working length with an apical MTA seal usually succeeds nonsurgically; if not, surgical sealing of the apical portion (flap, osteotomy, root-end filling as in Sub-Module 5.4) is indicated.</w:t>
      </w:r>
    </w:p>
    <w:p>
      <w:pPr>
        <w:pStyle w:val="ListBullet"/>
      </w:pPr>
      <w:r>
        <w:t>Midroot (lateral) perforation — most often from the inability to maintain canal curvature during instrumentation. First-line treatment is negotiating the original canal anatomy and obturating the full system; if unsuccessful, the coronal segment is obturated to a new working length confined to the root, and if that also fails, surgical correction (flap, osteotomy, sealing the midroot defect) is required. As with ledge formation, prognosis depends mainly on how much canal remains undebrided and unfilled.</w:t>
      </w:r>
    </w:p>
    <w:p>
      <w:pPr>
        <w:pStyle w:val="ListBullet"/>
      </w:pPr>
      <w:r>
        <w:t>Coronal perforation — occurs during orifice location or coronal flaring with rotary instruments (Gates-Glidden drills, Peeso reamers), or during post space preparation.</w:t>
      </w:r>
    </w:p>
    <w:p>
      <w:r>
        <w:rPr>
          <w:b w:val="0"/>
          <w:i w:val="0"/>
        </w:rPr>
        <w:t>Ledge formation itself — from inadequate straight-line access, inadequate irrigation/lubrication, overaggressive enlargement of a curved canal, or apical debris packing — is a related, frequently preceding problem. Many ledges are correctable nonsurgically by completing cleaning, shaping, and obturation to the new (ledged) working length; when this is not possible, surgical correction involves raising a flap, performing an osteotomy, removing the root apical to the ledge, and sealing the remaining root [1, p.262].</w:t>
      </w:r>
    </w:p>
    <w:p>
      <w:r>
        <w:rPr>
          <w:b w:val="0"/>
          <w:i w:val="0"/>
        </w:rPr>
        <w:t>Dean et al's animal study gives real, quantified support for the two specific adjuncts named above rather than leaving "animal study found excellent healing" as an unreferenced generality. When the furcation perforation was repaired and the bone defect was filled with decalcified freeze-dried bone under a periodontal membrane, osseous healing ranged 75-100%; when the bone defect was instead allowed to fill with blood under the same membrane, healing ranged 92-100% — genuinely comparable to, or even better than, the graft-material approach. When only the perforation itself was repaired, without either a graft or a membrane, healing dropped sharply to 52-70%; and in groups where the graft/membrane/blood-clot protocol was performed on the bone defect but the perforation itself was left unrepaired, osseous healing ranged only 0-15% [4, p.826]. The clear implication is that sealing the perforation is the necessary precondition for any of the adjunctive bone-management steps to work at all — a membrane or graft placed over an unsealed perforation does not meaningfully substitute for repairing the perforation itself.</w:t>
      </w:r>
    </w:p>
    <w:p>
      <w:r>
        <w:rPr>
          <w:b w:val="0"/>
          <w:i w:val="0"/>
        </w:rPr>
        <w:t>Harty's complements this with the concept of the critical crestal zone — perforations are classified by their relationship to the epithelial attachment and crestal bone, and this relationship, more than the perforation's size, is what predicts surgical prognosis. Apical-third perforations pose the least difficulty and are generally amenable to root-end resection; the furcation perforations described above carry the worst prognosis of any location specifically because of their potential for microbial contamination; and proximal-surface perforations are the hardest to access surgically even when their crestal-zone relationship is otherwise favorable [2, p.208]. Harty's also names timely management as an independent prognostic factor distinct from location: the shorter the interval between a perforation occurring and its repair, the better the outcome — an argument for repairing a perforation as soon as it is recognized rather than deferring it to a later visit [2, p.208].</w:t>
      </w:r>
    </w:p>
    <w:p>
      <w:pPr>
        <w:pStyle w:val="Heading3"/>
      </w:pPr>
      <w:r>
        <w:t>5.5.2 Management of Resorptive Defects</w:t>
      </w:r>
    </w:p>
    <w:p>
      <w:r>
        <w:rPr>
          <w:b w:val="0"/>
          <w:i w:val="0"/>
        </w:rPr>
        <w:t>Internal resorptive defects are generally managed nonsurgically. External resorption, by contrast, has a treatment decision driven by two independent factors: whether the defect communicates with the oral cavity, and whether it lies above or below the crestal bone [1, p.265]. When the defect does not penetrate into the canal space, it can be cleaned and repaired directly after flap reflection. Material selection follows a strict rule: if the defect communicates with the oral cavity and is esthetically visible, composite resin or glass ionomer is used, and MTA is explicitly contraindicated there; MTA becomes the material of choice only when the defect is below the crestal bone, with no oral cavity communication, where esthetics are not a concern [1, p.265]. When an external resorptive defect does communicate with the root canal system (or an internal resorptive defect has perforated externally), both nonsurgical and surgical treatment are required in sequence: root canal treatment first, followed at a later visit by surgical repair of the external component — with the same MTA-versus-esthetic-material rule applied to the external repair [1, p.266]. Defect location on the root surface also matters practically: buccal lesions are comparatively easy to access surgically, while distal or lingual lesions are difficult to visualize and access, often forcing a choice between internal repair with MTA, tooth replantation, root resection, or hemisection instead of a conventional surgical approach [1, p.266].</w:t>
      </w:r>
    </w:p>
    <w:p>
      <w:pPr>
        <w:pStyle w:val="Heading3"/>
      </w:pPr>
      <w:r>
        <w:t>5.5.3 Tooth Replantation (Intentional Replantation)</w:t>
      </w:r>
    </w:p>
    <w:p>
      <w:r>
        <w:rPr>
          <w:b/>
        </w:rPr>
        <w:t xml:space="preserve">DEFINITION — Intentional replantation: </w:t>
      </w:r>
      <w:r>
        <w:t>deliberate extraction of a tooth, followed by extraoral correction of a defect or completion of root-end surgery outside the mouth, and reinsertion into its own socket. It is indicated only when no other treatment alternative exists to retain the tooth — principally when conventional apical surgery is itself contraindicated, due to patient medical factors, proximity of critical anatomy (mental foramen, mandibular canal) to the surgical site, or thick cortical bone that would make conventional access impractical. It is contraindicated for teeth that are badly broken down, have inadequate bony support, or are difficult to extract atraumatically. Technique requires anesthesia without flap reflection, atraumatic extraction with minimal periodontal damage, extraoral correction of the defect, and reinsertion — with the tooth kept in moist gauze throughout the extraoral interval to protect the periodontal ligament [1, p.267].</w:t>
      </w:r>
    </w:p>
    <w:p>
      <w:r>
        <w:rPr>
          <w:b w:val="0"/>
          <w:i w:val="0"/>
        </w:rPr>
        <w:t>Outcome data are genuinely favorable: Torabinejad et al's systematic review and meta-analysis comparing intentionally replanted teeth against implant-supported single crowns found a weighted mean survival of 88% (95% CI, 81%–94%) for intentional replantation, with an 11% root resorption rate — directly comparable survival to the implant alternative it is most often weighed against in treatment planning [1, p.267]. Harty's independently reports a lower but still real figure for the technique overall — 50% to 60% success over a 5- to 10-year period — with the discrepancy from Torabinejad's meta-analysis reflecting differences in study selection and follow-up duration; the prognosis for intentionally replanted teeth is primarily dictated by the presence or absence of inflammatory and replacement resorption over time [2, p.211]. Harty's frames the indication even more conservatively than Torabinejad's chapter: calcified canals, separated instruments, nonnegotiable canals, perforations, and anatomical proximity to structures like the mandibular canal are each, on their own, explicitly not valid indications for choosing intentional replantation — the only genuine indication is the complete absence of any other way to retain a strategically important tooth [2, p.209].</w:t>
      </w:r>
    </w:p>
    <w:p>
      <w:pPr>
        <w:pStyle w:val="Heading3"/>
      </w:pPr>
      <w:r>
        <w:t>5.5.4 Tooth Transplantation (Autotransplantation)</w:t>
      </w:r>
    </w:p>
    <w:p>
      <w:r>
        <w:rPr>
          <w:b/>
        </w:rPr>
        <w:t xml:space="preserve">DEFINITION — Transplantation (autotransplantation): </w:t>
      </w:r>
      <w:r>
        <w:t>extraction of an erupted, embedded, or impacted tooth from one site and its placement into an extraction socket or surgically prepared recipient site elsewhere in the same patient — distinct from replantation, which returns a tooth to its own socket. It is indicated for replacing a nonsalvageable or missing tooth and is contraindicated when the donor tooth itself is badly broken down, has inadequate bony support, is difficult to extract, or simply does not fit the recipient site. Root canal treatment is ideally completed on the donor tooth before transplantation; the extraction, root-end resection, root-end preparation, and root-end filling are performed extraorally, and the tooth is kept in moist gauze throughout to prevent periodontal ligament dehydration and necrosis before being seated in the new socket. Ankylosis and resorption are the most common long-term complications, but a properly indicated and executed transplantation carries a good prognosis [1, pp.267-268].</w:t>
      </w:r>
    </w:p>
    <w:p>
      <w:r>
        <w:rPr>
          <w:b w:val="0"/>
          <w:i w:val="0"/>
        </w:rPr>
        <w:t>Autotransplantation has its own dedicated meta-analytic survival figure, genuinely distinct from the 88% intentional-replantation figure already cited in 5.5.3 — the two procedures are different (returning a tooth to its own socket versus moving a different tooth into a new one), so it would be a mistake to assume one figure applies to both. Torabinejad et al's meta-analysis comparing autotransplanted teeth against implant-supported single crowns found a weighted mean survival of 89% (95% CI, 81-94%) for autotransplantation specifically [4, p.831].</w:t>
      </w:r>
    </w:p>
    <w:p>
      <w:pPr>
        <w:pStyle w:val="Heading3"/>
      </w:pPr>
      <w:r>
        <w:t>5.5.5 Root Resection</w:t>
      </w:r>
    </w:p>
    <w:p>
      <w:r>
        <w:rPr>
          <w:b w:val="0"/>
          <w:i w:val="0"/>
        </w:rPr>
        <w:t>Root resection is the complete or partial removal of one or more roots from a multirooted tooth, most commonly performed in maxillary molars but also possible in mandibular molars [1, p.268]. Indications include severe bone loss isolated to one root, severe furcation involvement not amenable to other periodontal treatment, unfavorable root proximity, an unsalvageable root (separated instrument, perforation, caries, resorption, or vertical fracture), or a calcified canal in one root of a multirooted tooth [1, p.268]. Contraindications are insufficient bony support on the remaining root(s), fused roots, a long root trunk placing the furcation apically, the inability to establish a favorable restorative margin on the remaining structure, and poor patient home care [1, p.269]. Technically, the root is separated from the crown with a horizontal cut, leaving the crown intact, and the resected stump is contoured to provide good anatomical form and hygiene access; reported prognosis is variable in the literature — good by some studies, only fair by others [1, p.269].</w:t>
      </w:r>
    </w:p>
    <w:p>
      <w:r>
        <w:rPr>
          <w:b w:val="0"/>
          <w:i w:val="0"/>
        </w:rPr>
        <w:t>Cohen's reports a wider success-rate spread across the literature than the "good versus fair" framing above suggests: retrospective longitudinal studies following sectioned teeth for 3 to 12 years report success rates ranging from 62% to 100%, with periodontal breakdown occurring in only about 10% of cases — and, importantly, most long-term studies attribute failure primarily to the endodontic and restorative components of the case, not the resection procedure itself [3, PDF p.2951].</w:t>
      </w:r>
    </w:p>
    <w:p>
      <w:r>
        <w:rPr>
          <w:b w:val="0"/>
          <w:i w:val="0"/>
        </w:rPr>
        <w:t>A genuine controversy worth stating plainly concerns the timing of endodontic treatment relative to root resection. The clear preference is for endodontic treatment to precede resection, or to follow it immediately, but a vital-root resection (leaving the pulp untreated and simply covering the amputation site with a base such as Dycal and amalgam) is sometimes performed when exploratory surgery reveals a more extensive problem than expected. The evidence against deferring endodontic treatment is genuinely strong: one investigation following vital-root-resected maxillary molars for 9 years found only 38% of teeth still vital at 1 year, and just 13% at 5 years — implying that the long-term prognosis for vital-root resection without prompt endodontic treatment is poor, and that treatment should follow as soon as possible after resection if it cannot precede it, to avoid internal resorption, pulpal inflammation, and necrosis. A genuine counterpoint exists, though: Haskell reported vitality maintained in some resected teeth even after 16 years, so this is a real probabilistic risk rather than a certainty — but the weight of evidence still favors treating endodontically before or immediately after resection rather than relying on the exception [3, PDF p.2951].</w:t>
      </w:r>
    </w:p>
    <w:p>
      <w:pPr>
        <w:pStyle w:val="Heading3"/>
      </w:pPr>
      <w:r>
        <w:t>5.5.6 Hemisection</w:t>
      </w:r>
    </w:p>
    <w:p>
      <w:r>
        <w:rPr>
          <w:b w:val="0"/>
          <w:i w:val="0"/>
        </w:rPr>
        <w:t>Hemisection is the surgical division of a multirooted tooth into two separate segments, usually performed in mandibular molars (sectioned buccolingually through the bifurcation) and occasionally in maxillary molars (sectioned mesiodistally through the furcation); its indications and contraindications mirror those of root resection [1, p.269]. The initial cut is made close to the unsalvageable root, which is removed along with its coronal segment; the remaining root's anatomical crown is then carefully contoured with smooth margins, free of any ledges, to support a prosthetic crown and permit adequate hygiene access [1, p.269].</w:t>
      </w:r>
    </w:p>
    <w:p>
      <w:r>
        <w:rPr>
          <w:b w:val="0"/>
          <w:i w:val="0"/>
        </w:rPr>
        <w:t>Long-term prognosis for both root resection and hemisection is reported inconsistently but is generally favorable in properly selected cases: most studies report failure rates under 15% at long-term follow-up, while some report failure rates around 30% — a genuine spread across the literature rather than a single settled figure. The two factors most consistently associated with long-term success are case selection and patient oral hygiene; specifically, increased failure has been reported for molars retaining less than 50% bony support after the procedure, and for molars serving as the lone terminal abutment of a fixed prosthesis [1, p.270].</w:t>
      </w:r>
    </w:p>
    <w:p>
      <w:r>
        <w:rPr>
          <w:b w:val="0"/>
          <w:i w:val="0"/>
        </w:rPr>
        <w:t>Andreasen and Rud's classification of how root-resected/hemisected sites actually heal is worth knowing explicitly, since "success" in the outcome data above is not a single uniform healing pattern: (1) complete repair, with the periodontal ligament fully restored and mild or no inflammation; (2) repair with scar tissue adjacent to the periodontal ligament and some degree of inflammation; and (3) scar tissue formation with moderate inflammation [5, pp.446-447]. New bone repair generally occurs 6 months to a year after the procedure, and — a genuinely useful comparative point — healing after root resection or hemisection usually proceeds more rapidly than healing after simple root canal treatment of an equivalent periradicular area, though more slowly than healing after an equivalent-sized apical osteotomy defect without resection [5, p.447].</w:t>
      </w:r>
    </w:p>
    <w:p>
      <w:r>
        <w:rPr>
          <w:b w:val="0"/>
          <w:i w:val="0"/>
        </w:rPr>
        <w:t>Two further practical sequencing points are worth stating directly, since getting the order wrong creates avoidable problems rather than merely suboptimal ones. First, endodontic treatment should be completed before root removal, not after — a tooth sectioned through the pulp chamber cannot be properly treated endodontically afterward, since asepsis becomes impossible, the anatomic landmarks normally used during treatment are removed or destroyed, and an interappointment medicated dressing cannot be adequately sealed. Second, the coronal seal placed over the root being removed must be fully set before hemisection or root resection is performed, specifically to avoid "core material scatter" into the adjacent soft tissues — a real, avoidable complication from simply sequencing the steps in the wrong order [5, p.448]. When a full-coverage crown is planned after hemisection or root resection, the tooth should be prepared for that crown before the root is removed, not after: preparing first makes it easier to see and section the root to be extracted from the remaining structure, conserves maximum tooth structure, simplifies restorative problems, and improves periodontal healing — reversing this order is a documented, avoidable cause of long-term clinical failure [5, pp.448-449].</w:t>
      </w:r>
    </w:p>
    <w:p>
      <w:pPr>
        <w:pStyle w:val="Heading3"/>
      </w:pPr>
      <w:r>
        <w:t>5.5.6b Bicuspidization</w:t>
      </w:r>
    </w:p>
    <w:p>
      <w:r>
        <w:rPr>
          <w:b w:val="0"/>
          <w:i w:val="0"/>
        </w:rPr>
        <w:t>Bicuspidization is a distinct resective option from both root resection and hemisection, worth naming explicitly rather than treating as a variant of one of them. Performed on a mandibular molar with severe furcation bone loss or destruction, it divides the tooth vertically through the crown and furcation using a fissure bur, creating two separate segments that, once restored, function similarly to two premolars [4, p.829]. Indications are irreparable furcation perforation, furcation pathosis from a periodontal abscess, buccolingual cervical caries, or a fracture through the furcation; contraindications are deep furcation involvement, an unrestorable crown, inadequate bony support for the resulting segments, and fused roots [4, p.829]. As with root resection and hemisection, the major determinant of long-term success once the procedure itself is performed correctly and restored properly is the patient's own oral hygiene and willingness to perform the additional plaque-control measures the resulting anatomy requires [4, p.830].</w:t>
      </w:r>
    </w:p>
    <w:p>
      <w:pPr>
        <w:pStyle w:val="Heading3"/>
      </w:pPr>
      <w:r>
        <w:t>5.5.6c Surgical and Rapid Orthodontic Extrusion</w:t>
      </w:r>
    </w:p>
    <w:p>
      <w:r>
        <w:rPr>
          <w:b w:val="0"/>
          <w:i w:val="0"/>
        </w:rPr>
        <w:t>Two further techniques for repositioning a structurally compromised tooth coronally are genuinely distinct from the crown lengthening surgery covered next — both move the tooth itself rather than resecting surrounding tissue, and both are useful specifically when there is inadequate coronal structure to place or retain a rubber dam clamp for endodontic treatment, not only for final restorative purposes [4, p.541].</w:t>
      </w:r>
    </w:p>
    <w:p>
      <w:r>
        <w:rPr>
          <w:b/>
        </w:rPr>
        <w:t xml:space="preserve">DEFINITION — Rapid (forced) orthodontic extrusion: </w:t>
      </w:r>
      <w:r>
        <w:t>coronal repositioning of a structurally compromised tooth using orthodontic force greater than 50 grams (well above conventional orthodontic movement), introduced by Heithersay in 1973 for coronal-third root fractures and later expanded by Simon et al. to caries, root fractures, and iatrogenic perforations below the crestal bone. A rigid (0.036-gauge) orthodontic wire is adapted to an arch, and a cemented post-hook on the target tooth is connected to it with elastomeric chain or thread to generate the extrusive force; 3-4 mm of extrusion can typically be achieved within 2 weeks of activation, followed by an 8-week stabilization period to prevent intrusive relapse. The technique requires weekly monitoring and double-abutting the wire to prevent adjacent teeth from tipping toward each other [4, pp.541-542].</w:t>
      </w:r>
    </w:p>
    <w:p>
      <w:r>
        <w:rPr>
          <w:b/>
        </w:rPr>
        <w:t xml:space="preserve">DEFINITION — Immediate surgical extrusion: </w:t>
      </w:r>
      <w:r>
        <w:t>the intentional, controlled coronal luxation of a root using a periotome, stabilizing it in a favorable restorative position in a single visit rather than over weeks — genuinely faster than orthodontic extrusion, which depends on patient compliance and sometimes requires additional crown-lengthening therapy afterward because of soft-tissue mobilization during orthodontic movement. Indicated for coronal-third involvement by crown-root fracture, cervical caries, root resorption, or iatrogenic perforation, with a minimum 1:1 crown-to-root ratio required for postoperative stability; contraindicated in periodontally compromised teeth with deep bony pockets or associated mobility. Technique requires a full-thickness envelope flap extending at least one tooth adjacent, atraumatic periotome luxation in a rocking crown-down motion, repositioning the root 4-5 mm above the alveolar crest to re-establish adequate biologic height and ferrule, methylene blue staining to check for root cracks, and a flexible splint for 2 weeks [4, pp.546-547]. Because the procedure avoids the extended extraoral time and PDL desiccation associated with true traumatic luxation injuries, its typical complication profile (resorption, ankylosis, persistent mobility) is minimal — a histologic animal-model comparison found ankylosis only a minor, transient event after surgical extrusion, with surface and inflammatory resorption eventually repaired in both orthodontic and surgical groups [4, p.548]. Elkhadem et al's 2014 systematic review (8 case series, 11 case reports, 243 teeth, mostly from 1978-1999) found 30% nonprogressive root resorption, only 3% progressive root resorption (occurring mainly in teeth that also had apical surgery and bone grafting), no reported ankylosis in any tooth, and 5% tooth loss — genuinely favorable outcome data, though the evidence base itself sits at a comparatively low level (case series and case reports rather than controlled trials) [4, pp.547-548].</w:t>
      </w:r>
    </w:p>
    <w:p>
      <w:pPr>
        <w:pStyle w:val="Heading3"/>
      </w:pPr>
      <w:r>
        <w:t>5.5.7 Crown Lengthening Surgery</w:t>
      </w:r>
    </w:p>
    <w:p>
      <w:r>
        <w:rPr>
          <w:b w:val="0"/>
          <w:i w:val="0"/>
        </w:rPr>
        <w:t>Crown lengthening surgery (CLS) resects soft tissue, hard tissue (bone), or both, to increase clinical crown length and reestablish proper biologic width around a tooth requiring restoration — the same biologic width concept introduced in Sub-Module 5.2, here applied to restorative rather than surgical-flap planning [1, p.270]. Gargiulo et al's original study (the basis for Cohen's 1962 coining of the term "biologic width") found the connective tissue attachment (1.07 mm) to be far more dimensionally stable across individuals than the junctional epithelium, whose length is highly variable — meaning restoration margin position relative to the alveolar crest is a more reliable planning reference than margin position relative to the free gingival margin, which can shift [1, p.270].</w:t>
      </w:r>
    </w:p>
    <w:p>
      <w:r>
        <w:rPr>
          <w:b w:val="0"/>
          <w:i w:val="0"/>
        </w:rPr>
        <w:t>CLS is indicated when the planned restorative margin is expected to fall within 3 mm of the alveolar bone crest, or for teeth with a short clinical crown (altered passive eruption) or a crown shortened by fracture, extensive caries, resorption, or iatrogenic perforation [1, p.270]. It is contraindicated for medically compromised patients unable to undergo periodontal surgery, teeth with short or already-compromised roots (where further crown-to-root ratio worsening would be unfavorable), inadequate periodontal support, cases where the needed bone reduction would expose a furcation or bring resection dangerously close to the mental nerve, maxillary sinus, or ascending ramus, and — specifically — a single tooth in the esthetic zone, since apically displacing the gingival margin of only one tooth creates a visible, asymmetric esthetic problem [1, p.270].</w:t>
      </w:r>
    </w:p>
    <w:p>
      <w:r>
        <w:rPr>
          <w:b w:val="0"/>
          <w:i w:val="0"/>
        </w:rPr>
        <w:t>Technique is either gingivectomy or an apically positioned flap with or without osseous resection, chosen based on anatomical, esthetic, and restorative factors; approximately 7 to 9 mm of postsurgical supracrestal tooth structure is generally needed to re-establish the epithelial and connective tissue attachment while leaving enough tooth structure to support the planned restoration [1, p.271]. A genuinely practical timing point: the soft tissue margin can rebound significantly in the first 3 months after CLS, so definitive restorations should not be placed earlier than 3 months postoperatively — placing them sooner risks the margin migrating coronally relative to a restoration already seated [1, p.271].</w:t>
      </w:r>
    </w:p>
    <w:p>
      <w:r>
        <w:rPr>
          <w:b w:val="0"/>
          <w:i w:val="0"/>
        </w:rPr>
        <w:t>Long-term outcome data are genuinely strong: a retrospective study of 245 endodontically treated teeth undergoing CLS and prosthodontic restoration reported mean survival of 98%, 96%, and 83% at 3, 5, and 10 years respectively. Half of the teeth eventually lost failed from advanced caries or vertical root fracture, and crown-to-root ratio together with restoration margin position relative to the gingival margin were the major determinants of which teeth were ultimately lost — directly tying the long-term outcome back to the same biologic-width and margin-placement principles that govern the indication for CLS in the first place [1, p.271].</w:t>
      </w:r>
    </w:p>
    <w:p>
      <w:r>
        <w:rPr>
          <w:b w:val="0"/>
          <w:i w:val="0"/>
        </w:rPr>
        <w:t>Ingle's independently frames the same supracrestal-tissue requirement as an explicit sum of two components rather than a single 7-9 mm figure: 3-4 mm of sound tooth structure coronal to the alveolar crest, made up of 1-2 mm for the ferrule effect plus 2 mm for the biologic width itself — a genuinely useful decomposition since it separates the mechanical (ferrule/restorative) requirement from the biologic (attachment) requirement, which respond to different aspects of the procedure [4, p.549]. Ingle's also names and distinguishes the two components of osseous recontouring that make up this vertical reduction: ostectomy (removal of supporting bone, using an end-cutting bur atraumatic to the mesial and distal aspects of adjacent teeth, followed by smoothing the resulting bony step) and osteoplasty (removal of nonsupporting bone, performed after ostectomy, to reshape the osseous architecture for soft-tissue healing and flap approximation — also the appropriate step for recontouring tori or exostoses encountered during the same procedure) [4, pp.549-550]. A practical outcome point worth citing directly: postsurgical infection after CLS is genuinely rare (approximately 2%), postoperative pain is typically minor, and complete healing can be expected in roughly 6 weeks, after which definitive restorative treatment may begin — consistent with, but a more specific figure than, the 3-month minimum wait for margin-rebound stabilization already noted above [4, p.550].</w:t>
      </w:r>
    </w:p>
    <w:p>
      <w:pPr>
        <w:pStyle w:val="Heading3"/>
      </w:pPr>
      <w:r>
        <w:t>5.5.7b Forced Eruption (Orthodontic Extrusion) as an Alternative to Crown Lengthening</w:t>
      </w:r>
    </w:p>
    <w:p>
      <w:r>
        <w:rPr>
          <w:b w:val="0"/>
          <w:i w:val="0"/>
        </w:rPr>
        <w:t>Forced eruption is worth distinguishing explicitly from both crown lengthening surgery above and the rapid orthodontic/surgical extrusion techniques in 5.5.6c, since it targets a related but distinct clinical problem: a tooth that has fractured, decayed extensively, or undergone internal/external root resorption or lateral perforation, especially a straight, tapering single-rooted tooth, where surgical crown lengthening would produce poor esthetics [3, PDF p.2957]. It can achieve the same restorative access and reduced probing depths that extensive resective crown lengthening would otherwise require, while preserving the natural root system and its periodontal architecture, maintaining adjacent tooth structure, and keeping future implant reconstruction available as an option if the tooth is eventually lost anyway. A review of the literature found that most successfully treated cases involve extrusion of less than 4 mm — a real practical ceiling worth knowing before proposing the technique for a case needing more movement than that [3, PDF p.2957]. Despite this favorable evidence, forced eruption is described as an infrequently used technique relative to how often it could reasonably be applied — worth actively considering as an alternative before defaulting to surgical crown lengthening, not merely as a rare backup option [3, PDF p.2957].</w:t>
      </w:r>
    </w:p>
    <w:p>
      <w:pPr>
        <w:pStyle w:val="Heading3"/>
      </w:pPr>
      <w:r>
        <w:t>5.5.8 Guided Tissue Regeneration as an Adjunct</w:t>
      </w:r>
    </w:p>
    <w:p>
      <w:r>
        <w:rPr>
          <w:b w:val="0"/>
          <w:i w:val="0"/>
        </w:rPr>
        <w:t>Regenerative membrane procedures are indicated in endodontic surgery whenever cortical bone overlying the root has been lost — a dehiscence, proximal bone loss, furcation or root bone loss from perforation, cervical root resorption, or an oblique root fracture — since complete loss of cortical bone over the root is itself a documented negative prognostic factor for surgical success, and loss of both buccal and lingual plates reduces success further still [2, p.210]. The biologic rationale is the same principle underlying the barrier membranes already introduced in 5.5.1's furcation-perforation discussion: membrane placement delays repopulation of the root surface by rapidly proliferating gingival epithelial and connective tissue cells, giving the more slowly migrating progenitor cells from bone and periodontal ligament time to repopulate the surface and form a genuine new connective tissue attachment, rather than a long junctional epithelium [2, p.211]. Harty's is explicit that clinical evidence for this approach in endodontic surgery specifically remains inconclusive — supportive data come mainly from animal studies, case reports, and empirical clinical impression rather than controlled human trials, and successful true regeneration (as opposed to repair) can currently only be confirmed histologically, not by the surrogate clinical measures (probing attachment gain, probing depth reduction, radiographic bone fill) that are actually available to the clinician chairside [2, p.210].</w:t>
      </w:r>
    </w:p>
    <w:p>
      <w:r>
        <w:rPr>
          <w:b w:val="0"/>
          <w:i w:val="0"/>
        </w:rPr>
        <w:t>Cohen's adds two genuinely concrete outcome data points to Harty's more cautious framing above, worth citing specifically rather than leaving the evidence entirely as "inconclusive." One investigator treating large periradicular lesions with GTR barrier membranes found periradicular healing occurred more rapidly at membrane sites than at control sites, with superior quality and quantity of regenerated bone; a separate study combining Bio-Oss bone graft with a Bio-Gide membrane for apicomarginal defects reported 86% of cases healed both clinically and radiographically at 12 months [3, PDF pp.2953-2954]. A practical, genuinely useful clinical rule also worth stating directly: smoking is specifically contraindicated with GTR technique, since it has been consistently shown to affect the outcome adversely — a patient-modifiable factor worth raising explicitly before this adjunct is planned, not merely a generic health-history item [3, PDF p.1499].</w:t>
      </w:r>
    </w:p>
    <w:p>
      <w:pPr>
        <w:pStyle w:val="Heading3"/>
      </w:pPr>
      <w:r>
        <w:t>5.5.9 Ridge Preservation</w:t>
      </w:r>
    </w:p>
    <w:p>
      <w:r>
        <w:rPr>
          <w:b w:val="0"/>
          <w:i w:val="0"/>
        </w:rPr>
        <w:t>Ridge preservation is worth introducing as its own topic distinct from GTR used to save a periradicular defect, since it applies specifically when a tooth cannot be saved at all — a scenario growing more common as dental implants become a routine replacement option. When a tooth is found to have a vertical root fracture during exploratory surgery (5.1) and must be extracted, the buccal bony plate is often completely absent by that point; a simple extraction in that circumstance predisposes the patient to real loss of ridge height and width, which then complicates any future implant placement at that site [3, PDF p.1500]. GTR with graft material and a barrier membrane, placed at the time of extraction itself, can create a meaningfully more favorable future implant site — and this is worth knowing even for a clinician who does not place implants, since the decision of whether to preserve the ridge is made at the moment of extraction, not deferred to whoever eventually restores the site. An atraumatic extraction technique (periotomes being particularly useful for this specific purpose) is itself part of ridge preservation, since the goal is to preserve as much existing bone as possible during the extraction, not only to graft afterward [3, PDF p.1500].</w:t>
      </w:r>
    </w:p>
    <w:p>
      <w:pPr>
        <w:pStyle w:val="Heading1"/>
      </w:pPr>
      <w:r>
        <w:t>References</w:t>
      </w:r>
    </w:p>
    <w:p>
      <w:r>
        <w:rPr>
          <w:b w:val="0"/>
          <w:i w:val="0"/>
        </w:rPr>
        <w:t>[1] Torabinejad M, Rubinstein R, eds. The Art and Science of Contemporary Surgical Endodontics. Hanover Park, IL: Quintessence Publishing, 2019.</w:t>
      </w:r>
    </w:p>
    <w:p>
      <w:r>
        <w:rPr>
          <w:b w:val="0"/>
          <w:i w:val="0"/>
        </w:rPr>
        <w:t>[2] Berman LH, Hargreaves KM, et al. Harty's Endodontics in Clinical Practice, 7th ed. Edinburgh: Elsevier; 2021. Ch.10, "Surgical Endodontics."</w:t>
      </w:r>
    </w:p>
    <w:p>
      <w:r>
        <w:rPr>
          <w:b w:val="0"/>
          <w:i w:val="0"/>
        </w:rPr>
        <w:t>[3] Torabinejad M, Fouad AF, Shabahang S, eds. Cohen's Pathways of the Pulp, 12th ed. St. Louis: Elsevier; 2021. Ch.11, "Periradicular Surgery," and Ch.25, "Endo-Perio."</w:t>
      </w:r>
    </w:p>
    <w:p>
      <w:r>
        <w:rPr>
          <w:b w:val="0"/>
          <w:i w:val="0"/>
        </w:rPr>
        <w:t>[4] Rotstein I, Ingle JI, eds. Ingle's Endodontics, 7th ed. Shelton, CT: PMPH-USA; 2019. Ch.19, "Preparation for Treatment," and Ch.24, "Surgical Endodontics."</w:t>
      </w:r>
    </w:p>
    <w:p>
      <w:r>
        <w:rPr>
          <w:b w:val="0"/>
          <w:i w:val="0"/>
        </w:rPr>
        <w:t>[5] Gopikrishna V, ed. Grossman's Endodontic Practice, 14th ed. New Delhi: Wolters Kluwer; 2021. Ch.22, "Endodontic Surgery."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