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5.6: Surgical Complications &amp; Management</w:t>
      </w:r>
    </w:p>
    <w:p>
      <w:r>
        <w:rPr>
          <w:b/>
          <w:i w:val="0"/>
        </w:rPr>
        <w:t>Module 2 — Endodontics, Sub-Module 5: Surgical Endodontics</w:t>
      </w:r>
    </w:p>
    <w:p>
      <w:pPr>
        <w:pStyle w:val="Heading1"/>
      </w:pPr>
      <w:r>
        <w:t>Note on Sources</w:t>
      </w:r>
    </w:p>
    <w:p>
      <w:r>
        <w:rPr>
          <w:b w:val="0"/>
          <w:i w:val="0"/>
        </w:rPr>
        <w:t>Built primarily from Tsesis I (ed.). Complications in Endodontic Surgery: Prevention, Identification and Management (Springer, 2014) — a dedicated multi-author monograph on this exact topic, drawing on its chapters on bleeding (Rosen, Tsesis), pain/swelling/surgical site infection (Rosen, Tsesis), nerve injury (Rosen), and bisphosphonate-related osteonecrosis of the jaw (Pozzi et al.). Harty's Endodontics in Clinical Practice, 7th ed., Ch.10, supplies a complementary, independently sourced summary specifically on maxillary sinus perforation management. Hemostatic agents and local anesthesia technique were already introduced from the operative-technique perspective in Sub-Module 5.3; this file addresses the same topics from the complication-prevention-and-management perspective, with genuinely new content (vascular anatomy of bleeding risk, the rebound phenomenon, SSI definitions, nerve injury diagnosis/management algorithms, BRONJ) rather than repeating 5.3.</w:t>
      </w:r>
    </w:p>
    <w:p>
      <w:r>
        <w:rPr>
          <w:b w:val="0"/>
          <w:i w:val="0"/>
        </w:rPr>
        <w:t>**Audit update**: following a user-requested audit against Cohen's Pathways of the Pulp (12th ed.), Ingle's Endodontics (7th ed.), and Grossman's Endodontic Practice (14th ed.), all three were confirmed genuinely additive and added as further sources. Cohen's Ch.11 "Periradicular Surgery" supplies quantified postoperative course data, ecchymosis as a named complication, a specific bleeding-management sequence, and paresthesia epidemiology with a practical charting method. Ingle's Ch.24 "Surgical Endodontics" supplies surgical/subcutaneous emphysema — a rare but potentially fatal complication entirely absent from the original build — plus quantified sinus-perforation incidence data and the mechanistic link between inadequate hemostasis and infection risk. Grossman's Ch.22 contributes one specific, actionable hemostatic-technique timing pearl. A DCNA-collection audit separately confirmed two further genuinely additive articles: Moore &amp; Haas's "Paresthesias in Dentistry" (Dent Clin North Am 2010), which supplies real recovery-curve data and a genuinely new finding — that articaine and prilocaine carry a measurably higher paresthesia risk than other local anesthetics — and Ogle et al's "Hemostatic Agents" (Dent Clin North Am 2011), which supplies a specific neurotoxicity caution for Surgicel near an exposed inferior alveolar nerve.</w:t>
      </w:r>
    </w:p>
    <w:p>
      <w:r>
        <w:rPr>
          <w:b w:val="0"/>
          <w:i w:val="0"/>
        </w:rPr>
        <w:t>Citation convention: Tsesis's confirmed offset (marker−12 = printed page) — cited as `[1, p.X]`. Harty's confirmed offset (marker−16 = printed page) — cited as `[2, p.X]`. Cohen's has no recoverable printed folio in this extraction — uses the PDF-page fallback convention: `[3, PDF p.X]`. Ingle's offset for this chapter was locally re-verified (marker+89 = printed page) — cited as `[4, p.X]`. Grossman's confirmed offset (marker−25 = printed page) — cited as `[5, p.X]`. Moore &amp; Haas's and Ogle et al's DCNA articles have real printed pagination — cited as `[6, p.X]` and `[7, p.X]` respectively.</w:t>
      </w:r>
    </w:p>
    <w:p>
      <w:pPr>
        <w:pStyle w:val="Heading2"/>
      </w:pPr>
      <w:r>
        <w:t>5.6 Surgical Complications &amp; Management</w:t>
      </w:r>
    </w:p>
    <w:p>
      <w:pPr>
        <w:pStyle w:val="Heading3"/>
      </w:pPr>
      <w:r>
        <w:t>5.6.1 Bleeding: Prevention and Management</w:t>
      </w:r>
    </w:p>
    <w:p>
      <w:r>
        <w:rPr>
          <w:b w:val="0"/>
          <w:i w:val="0"/>
        </w:rPr>
        <w:t>Excessive intra- or postoperative bleeding is always a possibility in endodontic surgery, particularly in patients on anticoagulant therapy or with an underlying systemic bleeding disorder — and a preoperative history and routine clinical evaluation do not always reveal such a disorder, so unexplained, difficult-to-manage intraoperative bleeding should itself prompt the surgeon to suspect an undetected systemic cause rather than assume a purely local one [1, p.117]. Before any surgery in a patient with a known bleeding disorder, the source recommends the surgeon explicitly answer three questions: what exactly is the disorder and its current clinical relevance; does the practitioner have the knowledge, setting, and equipment to manage bleeding if it occurs; and does the benefit to the patient outweigh the bleeding risk [1, p.117].</w:t>
      </w:r>
    </w:p>
    <w:p>
      <w:r>
        <w:rPr>
          <w:b w:val="0"/>
          <w:i w:val="0"/>
        </w:rPr>
        <w:t>Regional vascular anatomy directly predicts bleeding risk and should shape both case selection and flap design. In the mandible, a vascular wound most often follows perforation of the lingual cortical plate — an expanding hematoma there can displace the tongue and floor of the mouth superiorly and posteriorly, producing life-threatening acute airway obstruction that may require emergency intubation or tracheostomy; this risk is the specific reason a lingual surgical approach is not recommended in endodontic surgery [1, p.118]. In the maxilla, Selim et al.'s measured data found that palatal surgery on maxillary molars produced roughly three times the average blood loss across all tooth locations, and maxillary first premolar surgery produced roughly double the average — concrete, location-specific numbers that argue against a palatal surgical approach where an alternative exists [1, p.118].</w:t>
      </w:r>
    </w:p>
    <w:p>
      <w:r>
        <w:rPr>
          <w:b w:val="0"/>
          <w:i w:val="0"/>
        </w:rPr>
        <w:t>A genuinely counterintuitive phenomenon worth knowing explicitly is the rebound phenomenon (reactive hyperemia): after a vasoconstrictor-containing local anesthetic controls bleeding, tissue vasopressor concentration gradually falls, and as the alpha-adrenergic vasoconstriction effect fades, a beta-adrenergic vasodilation effect can produce blood flow well above baseline — a rebound that can last for hours and typically cannot be reversed by further injection, and which occurs faster in already-inflamed tissue [1, p.119]. The direct clinical implication is sequencing: in a long or complex procedure, the most hemostasis-dependent steps (root-end management) should be performed first, with periradicular curettage and biopsy — the least hemostasis-dependent steps — deliberately reserved for last [1, p.119].</w:t>
      </w:r>
    </w:p>
    <w:p>
      <w:r>
        <w:rPr>
          <w:b w:val="0"/>
          <w:i w:val="0"/>
        </w:rPr>
        <w:t>Osteotomy and curettage themselves pose a distinct hemostatic challenge: cancellous bone bleeds diffusely via Haversian and Volkmann canals, is frequently performed directly in a highly vascularized granulation-tissue bed, and does not respond to the compression or ligation techniques used for soft tissue bleeding [1, p.119]. When standard hemostatic technique is used correctly, adequate bleeding control can be achieved even with granulation tissue left in situ, meaning the choice of when to curette it is a genuine technique decision rather than a hemostasis-forced one [1, p.120]. Available technical and pharmacologic means to control bleeding include digital compression, gauze tamponade, electrocauterization (reserved for when other methods fail, given its own real risk of necrosis and infection), ligation of the bleeding vessel, and the topical hemostatic agents already detailed from the operative-technique side in Sub-Module 5.3 [1, pp.120-121]. Two points from this complications-focused source specifically reinforce the removal discipline already introduced there: bone wax is explicitly not recommended in endodontic surgery because it retards bone healing and predisposes to infection, and cotton fibers left under the flap have been documented to cause a genuine, persistent "cellulose granuloma" — a real, reported case of chronic post-surgical pain traced directly to forgotten cotton fibers under the flap [1, p.121].</w:t>
      </w:r>
    </w:p>
    <w:p>
      <w:r>
        <w:rPr>
          <w:b w:val="0"/>
          <w:i w:val="0"/>
        </w:rPr>
        <w:t>A specific, actionable bleeding-management sequence is worth stating directly, since "control bleeding" is otherwise a fairly abstract instruction. Postoperative oozing is normal, but persistent bleeding should be managed first with steady pressure for 20-30 minutes using moist cotton gauze or — a specific, genuinely practical detail — a tea bag; if bleeding continues, pressure combined with injection of a local anesthetic containing 1:50,000 epinephrine is the next reasonable step; and if bleeding still continues, the sutures should be removed and the surgical site explored for a small severed vessel, which can then be crushed or cauterized directly [3, PDF p.1504]. A genuinely useful mechanistic point ties bleeding control directly to infection risk rather than treating them as two separate concerns: an uncontrolled hematoma under the flap prevents direct apposition of the flap to bone, delaying healing, and can itself act as a culture medium for bacterial growth — meaning adequate hemostasis before suturing is itself a genuine infection-prevention step, not merely a comfort or visibility measure [4, p.822]. A further practical timing pearl on vasoconstrictor use: attempting to improve hemostasis by injecting a vasoconstrictor-containing anesthetic into soft or osseous tissue after the incision has already been made is ineffective, because the powerful vasodilators already released at the incision site override the vasoconstrictor's effect — the infiltration has to precede the incision to work, not follow it as a rescue measure [5, p.433].</w:t>
      </w:r>
    </w:p>
    <w:p>
      <w:pPr>
        <w:pStyle w:val="Heading3"/>
      </w:pPr>
      <w:r>
        <w:t>5.6.1b Surgical (Subcutaneous) Emphysema</w:t>
      </w:r>
    </w:p>
    <w:p>
      <w:r>
        <w:rPr>
          <w:b w:val="0"/>
          <w:i w:val="0"/>
        </w:rPr>
        <w:t>A rare but genuinely serious complication, worth naming explicitly precisely because it is easy to miss in a list organized around bleeding, pain, and infection: case reports describe surgical emphysema progressing to subcutaneous emphysema of the face, which may be fatal, arising specifically from use of high-speed dental handpieces during surgical procedures [4, p.817]. The mechanism is air, rather than water, being forced under pressure into open tissue planes — air escaping from a conventional air-turbine handpiece can dissect along fascial planes from the submandibular or sublingual space, in contrast to a handpiece designed to vent air out the back rather than at the cutting tip. This is the direct rationale for the non-air-turbine, rear-exhaust handpiece design (e.g., the Impact Air 45) already introduced in Sub-Module 5.3's osteotomy technique — its advantage is not merely reduced splatter, but genuine prevention of a rare, potentially life-threatening complication [3, PDF p.1441].</w:t>
      </w:r>
    </w:p>
    <w:p>
      <w:pPr>
        <w:pStyle w:val="Heading3"/>
      </w:pPr>
      <w:r>
        <w:t>5.6.2 Pain, Swelling, and Surgical Site Infection</w:t>
      </w:r>
    </w:p>
    <w:p>
      <w:r>
        <w:rPr>
          <w:b w:val="0"/>
          <w:i w:val="0"/>
        </w:rPr>
        <w:t>Postoperative pain and swelling are the expected inflammatory response to surgical trauma, not inherently signs of a complication — roughly two-thirds of patients require analgesics postoperatively as a routine matter [1, p.129]. Several adjunctive measures have documented evidence for reducing their intensity. Preoperative corticosteroids (dexamethasone, methylprednisolone), given before tissue trauma so they are absorbed and distributed ahead of the inflammatory cascade, inhibit phospholipase A2 and downstream prostaglandin synthesis — though long-term, high-dose steroid use carries its own risks of adrenal suppression, delayed healing, and postoperative infection, so this is a short preoperative-dose strategy, not a treatment philosophy [1, p.132]. Cryotherapy has a real, if modest and poorly isolated, evidence base: repeated 10-minute ice applications reduce inflammation, vasoconstrict, and reduce metabolic rate at the wound, though measured intraoral mucosal temperature change from external cheek icing is small (roughly 1°C with a 30-minute application), and much of the reported clinical benefit may reflect a genuine placebo effect on pain perception as much as a direct physiologic one [1, p.132]. Wound closure technique also affects the postoperative course: primary closure (healing by primary intention) is the standard goal in endodontic surgery, but secondary closure with a drain may be deliberately chosen in cases of anticipated severe pain and swelling [1, p.133].</w:t>
      </w:r>
    </w:p>
    <w:p>
      <w:r>
        <w:rPr>
          <w:b w:val="0"/>
          <w:i w:val="0"/>
        </w:rPr>
        <w:t>Surgical site infection (SSI) is formally defined (per CDC criteria) by purulent drainage, a positive aseptic culture from the incision, or at least one clinical sign of infection (pain/tenderness, localized swelling, redness, or heat) combined with a surgeon deliberately reopening the incision — meaning SSI diagnosis after endodontic surgery should rest on these clinical criteria, not on the oral cavity's baseline bacterial colonization alone, since the mouth is never sterile to begin with [1, p.133]. Most SSIs become clinically apparent between postoperative days 5 and 10, and generally within 30 days of the procedure [1, p.133]. Endodontic surgery is classified as starting "clean/contaminated" and becoming genuinely "contaminated" the moment the infected root apex itself is surgically manipulated, since bacteria from the infected root canal system are introduced directly into the surgical field at that point [1, p.133]. Procedure duration is itself an independent, quantified infection risk factor: procedures under 1 hour carry significantly lower infection rates than those over 3 hours, with infection risk reported to roughly double with each additional hour of surgery — a direct, practical argument for efficient technique and realistic case-length planning, not merely a general admonition to "work quickly" [1, p.133].</w:t>
      </w:r>
    </w:p>
    <w:p>
      <w:r>
        <w:rPr>
          <w:b w:val="0"/>
          <w:i w:val="0"/>
        </w:rPr>
        <w:t>The evidence on prophylactic antibiotics is genuinely clear and worth stating plainly, since routine prescribing remains common in practice despite it: Lindeboom et al.'s randomized, placebo-controlled trial found no significant difference between clindamycin prophylaxis and placebo in preventing postoperative infection after endodontic surgery, in a study population with an already-low baseline infection rate (2.3%) — prophylactic antibiotic use is not supported by controlled evidence, and SSI prevention is better achieved through good oral hygiene and perioperative chlorhexidine mouthwash [1, p.135]. Antibiotics remain appropriately reserved for cases with actual signs of systemic involvement (regional lymphadenopathy, fever), used alongside surgical drainage or re-entry debridement where indicated, and continued only as long as needed for the patient's own host defenses to gain control of the infection [1, p.135].</w:t>
      </w:r>
    </w:p>
    <w:p>
      <w:r>
        <w:rPr>
          <w:b w:val="0"/>
          <w:i w:val="0"/>
        </w:rPr>
        <w:t>Cohen's contributes real, quantified postoperative course data from a prospective study (Tsesis et al, 82 patients) that gives concrete numbers to the general pattern already established above: 76.4% of patients were completely pain-free 1 day after surgery, and 64.7% reported no swelling at all; only 4% experienced moderate pain, and this was closely tied to the presence of presurgical symptoms — meaning a patient who already had pain before surgery is a meaningfully better predictor of postoperative discomfort than the surgery itself [3, PDF p.1503]. A further, specifically named complication worth distinguishing from routine swelling is postoperative ecchymosis — visible bruising from blood seeping through the interstitial tissues. It can be genuinely alarming to both patient and clinician on inspection, but it is self-limiting and does not affect the surgical prognosis; moist heat can help resolve it, but heat should specifically not be applied during the first 24 hours after surgery, and complete resolution of the discoloration can take up to 2 weeks [3, PDF p.1504]. The management question of routine postoperative antibiotics and decongestants after sinus exposure specifically remains genuinely controversial and not evidence-supported as a routine practice — several clinicians report excellent healing and minimal complications after sinus exposure without either, and the practical recommendation is case-by-case clinical judgment rather than a fixed protocol [3, PDF p.1505].</w:t>
      </w:r>
    </w:p>
    <w:p>
      <w:pPr>
        <w:pStyle w:val="Heading3"/>
      </w:pPr>
      <w:r>
        <w:t>5.6.3 Nerve Injury: Prevention, Diagnosis, and Management</w:t>
      </w:r>
    </w:p>
    <w:p>
      <w:r>
        <w:rPr>
          <w:b w:val="0"/>
          <w:i w:val="0"/>
        </w:rPr>
        <w:t>Nerve injury is a rare but genuinely serious complication, most frequently reported in mandibular second molars (and also first molars and premolars), and — of the reported cases of altered sensation associated with dental local anesthetic administration in one large US series — roughly 5% specifically involved an endodontic treatment [1, p.137]. Direct trauma to the nerve bundle during surgery is the single most common cause, occurring either by direct cutting of the bundle or by crushing/stretching it with a retractor — the latter specifically from a retractor impinging against the flap base where the mental nerve is contained [1, pp.137-138].</w:t>
      </w:r>
    </w:p>
    <w:p>
      <w:r>
        <w:rPr>
          <w:b w:val="0"/>
          <w:i w:val="0"/>
        </w:rPr>
        <w:t>Prevention rests on the same anatomical-knowledge and technique principles introduced in Sub-Modules 5.2–5.3, applied here specifically to nerve protection: identifying the mental foramen before flap reflection, covering it carefully with the retractor, adequate flap design to avoid unnecessary manipulation near nerve bundles, and the genuine safety benefit of magnification and illumination, which allows more conservative and precise surgery specifically in the vicinity of neurovascular bundles [1, p.138]. Mandibular molar surgery poses a compounded risk because several independent anatomical factors converge there simultaneously — close root-to-canal proximity, difficult posterior access, and thick buccal cortical bone — each of which independently increases the technical difficulty of the case and, in combination, raises nerve injury risk beyond what any single factor alone would predict [1, p.138].</w:t>
      </w:r>
    </w:p>
    <w:p>
      <w:r>
        <w:rPr>
          <w:b w:val="0"/>
          <w:i w:val="0"/>
        </w:rPr>
        <w:t>Because surgery is performed under local anesthesia, a nerve injury's clinical symptoms only become evident once the anesthesia wears off — so the clinician's responsibility shifts to postoperative vigilance: acute pain during or after surgery, or any neurosensory alteration (paresthesia, anesthesia, hyperesthesia), should prompt an immediate basic neurosensory evaluation and, in the absence of a definitive diagnosis, early empirical treatment with corticosteroids and NSAIDs — corticosteroids given within days of the injury can minimize neuropathy, inhibit axon sprouting, and prevent neuroma formation [1, p.139]. A genuinely important differential-diagnosis point: persistent pain after an apparently successful surgery is not automatically phantom tooth pain or an unrelated chronic pain syndrome — it should specifically prompt consideration of an undiagnosed nerve injury, since both entities can present identically to the patient [1, p.139].</w:t>
      </w:r>
    </w:p>
    <w:p>
      <w:r>
        <w:rPr>
          <w:b w:val="0"/>
          <w:i w:val="0"/>
        </w:rPr>
        <w:t>Formal neurosensory evaluation uses a structured battery of clinical tests, performed with the patient's eyes closed and compared against the unaffected contralateral side: mechanoceptive tests (two-point discrimination, static light touch, brush directional stroke) and nociceptive tests (pin prick, thermal discrimination), beginning by mapping the boundary of the affected area before characterizing the nature and severity of the impairment within it [1, p.141]. Objective adjuncts such as trigeminal evoked potential testing exist but require expertise beyond most general dental practice — the practical clinical responsibility for a general practitioner is to recognize the initial suspicion of injury and refer appropriately, both for clinical and medicolegal reasons [1, p.141].</w:t>
      </w:r>
    </w:p>
    <w:p>
      <w:r>
        <w:rPr>
          <w:b w:val="0"/>
          <w:i w:val="0"/>
        </w:rPr>
        <w:t>Management follows a tiered approach. Noninvasive first-line measures include early anti-inflammatory therapy (oral corticosteroids, NSAIDs as an alternative or adjunct), cryotherapy (evidence for its precise mechanism remains unclear despite long historical use), and, for persistent cases, antidepressants, transcutaneous electric nerve stimulation, or low-level laser therapy [1, p.146]. Cases unresponsive to noninvasive measures may be candidates for microneurosurgical intervention (external neurolysis, direct suturing, or nerve grafting), which is more predictable if performed before Wallerian degeneration sets in, roughly 3 months after the original injury — a genuine treatment-timing window worth knowing, since delayed referral directly worsens the prospects for surgical repair. These surgical options carry their own honest caveat: their exact indications and effectiveness are poorly documented (low-quality case reports and retrospective series from maxillofacial surgery), full sensory recovery is not guaranteed, and the corrective procedure itself introduces additional trauma, inflammation, and edema that can transiently worsen the original injury before any benefit is seen [1, p.146].</w:t>
      </w:r>
    </w:p>
    <w:p>
      <w:r>
        <w:rPr>
          <w:b w:val="0"/>
          <w:i w:val="0"/>
        </w:rPr>
        <w:t>Cohen's gives real epidemiologic numbers to ground the general diagnosis/referral timeline already established above, while being explicit that no reliable overall estimate exists specifically for surgical root canal treatment. The comparator data comes from third-molar extraction: paresthesia incidence there is estimated at 1-4.4%, but most of those cases involve the lingual nerve specifically, which is rarely at risk in mandibular periradicular surgery; inferior alveolar nerve injury after third-molar surgery occurs in roughly 1.3% of cases, with only about 25% of those resulting in permanent injury, and most patients recover normal sensation within 3-4 months [3, PDF p.1506]. Robinson and Williams's charting method, worth knowing as a concrete documentation technique rather than an abstract recommendation to "document carefully," maps the area of altered sensation directly: the skin or mucosa is pinched with cotton pliers (or tested with a pinprick), and the boundary of altered sensation is marked as a series of points on a diagram of the face and mouth, producing a genuine graphic and chronologic record that can be compared visit to visit [3, PDF p.1506].</w:t>
      </w:r>
    </w:p>
    <w:p>
      <w:r>
        <w:rPr>
          <w:b w:val="0"/>
          <w:i w:val="0"/>
        </w:rPr>
        <w:t>Moore and Haas's dedicated review of dental paresthesia adds a genuinely distinct dimension: local anesthesia itself, not only surgical trauma, is an independent cause of persistent altered sensation, and the risk differs meaningfully by anesthetic agent. A paresthesia is formally distinguished from the expected pharmacologic numbness of anesthesia itself by duration — it is defined as altered sensation persisting beyond the expected duration of the local anesthetic's action — and can present as complete anesthesia, dysesthesia (burning/tingling), allodynia (pain from a normally nonpainful stimulus), or hyperesthesia [6, p.716]. Recovery curve data from surgical paresthesias specifically shows that full recovery at 8 weeks occurs in only 25-30% of patients, but by 9 months roughly 90% have fully recovered — genuinely useful numbers for setting patient expectations at different points along that timeline, and consistent with the already-established referral threshold of 10-12 weeks for cases not showing signs of resolution [6, p.717]. The genuinely new finding for endodontic practice specifically concerns anesthetic choice: a large Ontario insurance-database study found an overall incidence of 1 persistent paresthesia per 785,000 local anesthetic injections, but articaine and prilocaine — the two 4% anesthetic solutions used in dentistry — were associated with a statistically significantly higher incidence than other local anesthetics, with the lingual nerve involved in roughly 64-70% of these cases; a follow-up study using the same database and methodology found a similar overall incidence (1 in 765,000) and confirmed the same elevated risk specifically with articaine and prilocaine [6, p.718]. This is a genuinely actionable, anesthetic-selection-level finding distinct from the surgical-trauma mechanisms already covered above — worth weighing specifically when choosing a block anesthetic for a mandibular posterior surgical case.</w:t>
      </w:r>
    </w:p>
    <w:p>
      <w:r>
        <w:rPr>
          <w:b w:val="0"/>
          <w:i w:val="0"/>
        </w:rPr>
        <w:t>One further, specific hemostatic-agent-related nerve-injury caution is worth flagging here rather than only in Sub-Module 5.3's technique discussion: Surgicel placed directly in contact with an exposed inferior alveolar nerve (for example, in the mandibular canal) has been reported to cause neurotoxic effects — a real, specific risk that should influence hemostatic agent choice in cases where the IAN is exposed, not merely a generic caution about leaving hemostatic material in place too long [7, p.435].</w:t>
      </w:r>
    </w:p>
    <w:p>
      <w:pPr>
        <w:pStyle w:val="Heading3"/>
      </w:pPr>
      <w:r>
        <w:t>5.6.4 Maxillary Sinus Perforation</w:t>
      </w:r>
    </w:p>
    <w:p>
      <w:r>
        <w:rPr>
          <w:b w:val="0"/>
          <w:i w:val="0"/>
        </w:rPr>
        <w:t>Sinus membrane (Schneiderian membrane) perforation during periapical surgery on a maxillary posterior tooth is genuinely common, not a rare complication — a real, quantified fact worth correcting against any assumption that sinus exposure signals something having gone wrong. Reported incidence ranges from roughly 10% to 50% of cases, and even without any periapical pathology the distance between a maxillary posterior root apex and the sinus can be under 1 mm, with an inflammatory periradicular lesion further increasing the likelihood of exposure during surgery [3, PDF p.1405]. Two independent clinical studies give concrete figures: Ericson et al found oroantral communication in 13% of 314 apical surgeries on maxillary canines, premolars, and molars, with no measurable difference in healing between cases with and without sinus exposure; and Rud and Rud found sinus perforation in fully 50% of 200 maxillary first molars treated surgically, of which only two developed postoperative sinusitis [4, p.804]. The clinical conclusion these numbers support is reassuring rather than alarming: perforation of the sinus, properly managed, rarely results in long-term postoperative problems, and the sinus membrane usually regenerates with a thin layer of new bone forming over the root end, even though osseous regeneration itself is less predictable than membrane healing [3, PDF p.1405].</w:t>
      </w:r>
    </w:p>
    <w:p>
      <w:r>
        <w:rPr>
          <w:b w:val="0"/>
          <w:i w:val="0"/>
        </w:rPr>
        <w:t>When the sinus is entered, the opening must be protected to prevent debris from entering the sinus during the remaining root-end management — typically with a collagen-based hemostatic material, which is left in place afterward to serve as a matrix for the perforation to close over [2, p.208]. Bone wax should specifically not be used for this purpose: beyond the foreign-body and healing-impairment concerns already established for it in Sub-Module 5.3, wax pushed into the sinus itself can provoke a significant foreign body giant cell reaction with delayed healing [2, p.208]. Routine postsurgical antibiotic or antihistamine use for an uncomplicated sinus perforation is not well established in the evidence, and is generally unnecessary when primary soft tissue closure achieves an effective seal on its own [2, p.208].</w:t>
      </w:r>
    </w:p>
    <w:p>
      <w:pPr>
        <w:pStyle w:val="Heading3"/>
      </w:pPr>
      <w:r>
        <w:t>5.6.5 Bisphosphonate- and Antiresorptive-Related Osteonecrosis of the Jaw (BRONJ/MRONJ)</w:t>
      </w:r>
    </w:p>
    <w:p>
      <w:r>
        <w:rPr>
          <w:b w:val="0"/>
          <w:i w:val="0"/>
        </w:rPr>
        <w:t>Patients on long-term antiresorptive therapy (bisphosphonates, and by extension other antiresorptive drug classes) carry a real, quantifiable risk of jaw osteonecrosis from oral surgical procedures. The diagnostic criteria from the American Association of Oral and Maxillofacial Surgeons require a history of bisphosphonate use, no history of head/neck radiotherapy, and exposed bone in the maxilla or mandible persisting more than 8 weeks; the 2009 revision added a "stage 0" category for patients with no visible necrotic bone but nonspecific symptoms (unexplained pain, loosening teeth not explained by periodontal disease, a periapical/periodontal fistula unrelated to pulpal necrosis) or characteristic radiographic findings (unexplained alveolar bone loss, dense unremodeled trabecular bone, thickened lamina dura, inferior alveolar canal narrowing) [1, p.153].</w:t>
      </w:r>
    </w:p>
    <w:p>
      <w:r>
        <w:rPr>
          <w:b w:val="0"/>
          <w:i w:val="0"/>
        </w:rPr>
        <w:t>Treatment planning in these patients follows the same nonsurgical-first hierarchy already established in Sub-Module 5.1, but with the treatment-risk calculus itself shifted: nonsurgical root canal treatment is genuinely less traumatic than extraction and carries a reported osteonecrosis association of only 0.8% of cases, making it the clearly preferred option when the pulpal/periapical condition is treatable at all [1, p.153]. When nonsurgical retreatment is not practical, several authors specifically caution against surgical endodontic treatment in patients on bisphosphonates, even though it is technically less invasive than extraction — the available outcome data in this specific population is sparse (largely case reports), so the recommendation is a risk-averse one pending better evidence, not a statement that surgery is known to be unsafe in every such patient [1, p.153]. Any surgical decision in this population should follow the same standard applied to other oral surgical procedures in bisphosphonate patients: an individualized risk-benefit assessment rather than a blanket rule [1, p.153].</w:t>
      </w:r>
    </w:p>
    <w:p>
      <w:r>
        <w:rPr>
          <w:b w:val="0"/>
          <w:i w:val="0"/>
        </w:rPr>
        <w:t>For patients who already have established BRONJ, management is staged by severity: a conservative approach (antiseptic chlorhexidine rinses, broad-spectrum antibiotics such as amoxicillin/clavulanic acid, metronidazole, or clindamycin, and limited debridement) is used for lower-stage disease, while more extensive surgery (sequestrectomy or resection of affected bone) is reserved for more severe, extended necrosis [1, p.159]. The comparative evidence between conservative and surgical management is genuinely nuanced rather than clearly favoring one approach: overall treatment "success" rates are similar between the two (roughly 60% either way), but this comparison is confounded because surgery is disproportionately performed on higher-stage, more severe cases to begin with. When outcomes are examined more specifically, surgically treated patients show a lower rate of new/recurrent BRONJ (3.1% versus 8.1% for conservative management) and a higher rate of direct symptomatic benefit (roughly 80% of surgical patients), while complete healing with conservative management alone appears achievable mainly in the lowest-stage disease [1, pp.160-161].</w:t>
      </w:r>
    </w:p>
    <w:p>
      <w:pPr>
        <w:pStyle w:val="Heading1"/>
      </w:pPr>
      <w:r>
        <w:t>References</w:t>
      </w:r>
    </w:p>
    <w:p>
      <w:r>
        <w:rPr>
          <w:b w:val="0"/>
          <w:i w:val="0"/>
        </w:rPr>
        <w:t>[1] Tsesis I, ed. Complications in Endodontic Surgery: Prevention, Identification and Management. Berlin Heidelberg: Springer-Verlag, 2014.</w:t>
      </w:r>
    </w:p>
    <w:p>
      <w:r>
        <w:rPr>
          <w:b w:val="0"/>
          <w:i w:val="0"/>
        </w:rPr>
        <w:t>[2] Berman LH, Hargreaves KM, et al. Harty's Endodontics in Clinical Practice, 7th ed. Edinburgh: Elsevier; 2021. Ch.10, "Surgical Endodontics."</w:t>
      </w:r>
    </w:p>
    <w:p>
      <w:r>
        <w:rPr>
          <w:b w:val="0"/>
          <w:i w:val="0"/>
        </w:rPr>
        <w:t>[3] Torabinejad M, Fouad AF, Shabahang S, eds. Cohen's Pathways of the Pulp, 12th ed. St. Louis: Elsevier; 2021. Ch.11, "Periradicular Surgery" (Johnson BR, Fayad MI, Berman LH).</w:t>
      </w:r>
    </w:p>
    <w:p>
      <w:r>
        <w:rPr>
          <w:b w:val="0"/>
          <w:i w:val="0"/>
        </w:rPr>
        <w:t>[4] Rotstein I, Ingle JI, eds. Ingle's Endodontics, 7th ed. Shelton, CT: PMPH-USA; 2019. Ch.24, "Surgical Endodontics."</w:t>
      </w:r>
    </w:p>
    <w:p>
      <w:r>
        <w:rPr>
          <w:b w:val="0"/>
          <w:i w:val="0"/>
        </w:rPr>
        <w:t>[5] Gopikrishna V, ed. Grossman's Endodontic Practice, 14th ed. New Delhi: Wolters Kluwer; 2021. Ch.22, "Endodontic Surgery."</w:t>
      </w:r>
    </w:p>
    <w:p>
      <w:r>
        <w:rPr>
          <w:b w:val="0"/>
          <w:i w:val="0"/>
        </w:rPr>
        <w:t>[6] Moore PA, Haas DA. Paresthesias in Dentistry. Dent Clin North Am 2010;54(4):715-730.</w:t>
      </w:r>
    </w:p>
    <w:p>
      <w:r>
        <w:rPr>
          <w:b w:val="0"/>
          <w:i w:val="0"/>
        </w:rPr>
        <w:t>[7] Ogle OE, Swantek J, Kamoh A. Hemostatic Agents. Dent Clin North Am 2011;55(3):433-439.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