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5.7: Outcomes &amp; Prognosis of Surgical Endodontics</w:t>
      </w:r>
    </w:p>
    <w:p>
      <w:r>
        <w:rPr>
          <w:b/>
          <w:i w:val="0"/>
        </w:rPr>
        <w:t>Module 2 — Endodontics, Sub-Module 5: Surgical Endodontics</w:t>
      </w:r>
    </w:p>
    <w:p>
      <w:pPr>
        <w:pStyle w:val="Heading1"/>
      </w:pPr>
      <w:r>
        <w:t>Note on Sources</w:t>
      </w:r>
    </w:p>
    <w:p>
      <w:r>
        <w:rPr>
          <w:b w:val="0"/>
          <w:i w:val="0"/>
        </w:rPr>
        <w:t>Built from Torabinejad M, Rubinstein R (eds). The Art and Science of Contemporary Surgical Endodontics, Chapter 17 "Outcomes of Endodontic Surgery" (von Arx, White) — a dedicated, extensively referenced review of outcome-measurement methodology, follow-up timing, comparative outcome data across dozens of published studies (traditional versus modern technique), and prognostic-factor analysis, which together constitute the full scope of this closing sub-module. This file deliberately summarizes the chapter's very large comparative-outcomes data tables (Table 17-1/17-2, spanning more than 30 individual studies) rather than reproducing them study-by-study, focusing on the pooled/meta-analytic figures and the prognostic conclusions that a clinician actually needs for treatment planning and patient counseling.</w:t>
      </w:r>
    </w:p>
    <w:p>
      <w:r>
        <w:rPr>
          <w:b w:val="0"/>
          <w:i w:val="0"/>
        </w:rPr>
        <w:t>**Audit update**: following a user-requested audit against Cohen's Pathways of the Pulp (12th ed.), Ingle's Endodontics (7th ed.), and Grossman's Endodontic Practice (14th ed.), Cohen's Ch.17 "Evaluation of Outcomes" (Ng, Gulabivala) was confirmed genuinely additive and added as a further source — it draws on an independent, unpublished meta-analysis distinct from the studies already cited from Torabinejad's own chapter, supplying a time-stratified healing-probability curve, a second risk-ratio-based prognostic-factor dataset (with two further named factors), an explicit negative-finding list, a GTR-specific negative finding, and a tooth-survival-in-months metric not used elsewhere in this file. Ingle's Ch.24 contributes an evidence-quality caveat (most of the frequently cited surgical outcome literature is case-series level, not controlled-trial level) and one further RCT directly comparing ultrasonic and bur root-end preparation. Grossman's Ch.22 was checked directly and found to contain no dedicated outcomes/prognosis content beyond anecdotal case-figure captions — noted transparently rather than cited for the sake of using it. A DCNA-collection audit separately confirmed Lieblich's "Endodontic Surgery" (Dent Clin North Am 2012) genuinely additive here as well as in Sub-Module 5.1 — its long-term survival data from several named studies (Basten, Blömlof &amp; Jansson, Rud) and structured success/failure factor list give this file real, named long-term outcome data beyond the 2-4/4-6-year windows already covered from Torabinejad's own chapter.</w:t>
      </w:r>
    </w:p>
    <w:p>
      <w:r>
        <w:rPr>
          <w:b w:val="0"/>
          <w:i w:val="0"/>
        </w:rPr>
        <w:t>Citation convention: Torabinejad's confirmed offset (marker−13 = printed page) — cited as `[1, p.X]`. Cohen's has no recoverable printed folio in this extraction — uses the PDF-page fallback convention: `[2, PDF p.X]`. Ingle's offset for this chapter was locally re-verified (marker+89 = printed page) — cited as `[3, p.X]`. Lieblich's DCNA article has real printed pagination — cited as `[4, p.X]`.</w:t>
      </w:r>
    </w:p>
    <w:p>
      <w:pPr>
        <w:pStyle w:val="Heading2"/>
      </w:pPr>
      <w:r>
        <w:t>5.7 Outcomes &amp; Prognosis of Surgical Endodontics</w:t>
      </w:r>
    </w:p>
    <w:p>
      <w:pPr>
        <w:pStyle w:val="Heading3"/>
      </w:pPr>
      <w:r>
        <w:t>5.7.1 Outcome Measures and Classification of Healing</w:t>
      </w:r>
    </w:p>
    <w:p>
      <w:r>
        <w:rPr>
          <w:b w:val="0"/>
          <w:i w:val="0"/>
        </w:rPr>
        <w:t>Apical surgery outcomes have traditionally been judged on two-dimensional radiographic assessment of periapical healing — re-formation of an adequately sized periodontal ligament space at the cut root face, bone fill within the periapical defect, continuity of the lamina dura, and normal trabecular pattern [1, p.298]. Andreasen and Rud's histology-to-radiography correlation established that persistent scar tissue characteristically appears as a decreased, but not fully resolved, lesion, while persistent inflammation appears as a circular or semicircular rarefaction more than twice the normal periodontal ligament space width, blending into that ligament space [1, p.298].</w:t>
      </w:r>
    </w:p>
    <w:p>
      <w:r>
        <w:rPr>
          <w:b/>
        </w:rPr>
        <w:t xml:space="preserve">DEFINITION — Molven classification: </w:t>
      </w:r>
      <w:r>
        <w:t>the most widely used system for classifying endodontic surgical outcomes, sorting cases into four categories — complete healing, incomplete healing (scar tissue), uncertain healing, and unsatisfactory healing (failure) — using reference radiographs and schematic diagrams. It has demonstrated satisfactory interobserver agreement, which is why it remains the field's reference standard [1, p.298].</w:t>
      </w:r>
    </w:p>
    <w:p>
      <w:r>
        <w:rPr>
          <w:b w:val="0"/>
          <w:i w:val="0"/>
        </w:rPr>
        <w:t>A genuinely important refinement to this classification is that incomplete healing (scar tissue) is not equivalent to failure: a study following 24 teeth originally classified as incomplete healing found that the vast majority continued to show progressive reduction in lesion size over 2 to 6 years of further follow-up — meaning an "incomplete healing" radiograph at the standard 1-year checkpoint is often still on a genuinely favorable trajectory, not a stalled or failing one [1, p.298].</w:t>
      </w:r>
    </w:p>
    <w:p>
      <w:pPr>
        <w:pStyle w:val="Heading3"/>
      </w:pPr>
      <w:r>
        <w:t>5.7.2 When to Evaluate Healing</w:t>
      </w:r>
    </w:p>
    <w:p>
      <w:r>
        <w:rPr>
          <w:b w:val="0"/>
          <w:i w:val="0"/>
        </w:rPr>
        <w:t>A 1-year follow-up is the long-established minimum standard: Halse et al found that 1 year provides a valid diagnosis for the majority of cases, with only a small minority remaining genuinely uncertain and needing further follow-up — consistent with Burstein et al's finding that the apical crypt generally shrinks by 80% within the first year [1, p.298]. However, 1 year is not the end of the surveillance window: further healing can continue for years to decades afterward, and — the more clinically important caveat — a meaningful proportion of early apparent successes can revert to failure over time, since apical surgery by definition only treats the apical portion of the root, leaving open the possibility that bacteria migrate back from an untreated part of the canal system to the resected root end. The practical conclusion is that a comprehensive 1-year evaluation (history, clinical exam, radiography) is mandatory, but ongoing surveillance should remain part of every subsequent routine patient examination indefinitely, not a one-time checkpoint that is then closed out [1, p.298].</w:t>
      </w:r>
    </w:p>
    <w:p>
      <w:r>
        <w:rPr>
          <w:b w:val="0"/>
          <w:i w:val="0"/>
        </w:rPr>
        <w:t>Cohen's contributes a genuinely more precise, time-stratified version of the same conclusion, drawn from an independent (at the time unpublished) meta-analysis rather than the individual studies already cited above. Pooled healing probability rises from 51% (95% CI 42-60%) at 6 months to 68% (63-73%) at 12 months to 76% (67-84%) at 24 months, then plateaus — 74% (52-95%) at 48 months and 74% (66-82%) beyond 48 months — giving a real quantified shape to the "healing continues, then plateaus" pattern rather than leaving it as a qualitative statement. The practical recommendation this curve supports is a minimum follow-up of 2 to 4 years, consistent with quality guidelines, rather than stopping surveillance at the 1-year mark on the assumption that healing is essentially complete by then [2, PDF p.2237].</w:t>
      </w:r>
    </w:p>
    <w:p>
      <w:pPr>
        <w:pStyle w:val="Heading3"/>
      </w:pPr>
      <w:r>
        <w:t>5.7.3 Traditional Versus Modern (Microsurgical) Technique</w:t>
      </w:r>
    </w:p>
    <w:p>
      <w:r>
        <w:rPr>
          <w:b w:val="0"/>
          <w:i w:val="0"/>
        </w:rPr>
        <w:t>The outcome literature draws a sharp, well-replicated line between traditional apical surgery (no or low magnification, bur-based root-end preparation) and modern endodontic microsurgery (EMS: high magnification via operating microscope or endoscope, ultrasonic microtip root-end preparation, modern retrofilling materials) [1, p.299]. Several independent analyses converge on the same conclusion with strikingly consistent numbers:</w:t>
      </w:r>
    </w:p>
    <w:p>
      <w:pPr>
        <w:pStyle w:val="ListBullet"/>
      </w:pPr>
      <w:r>
        <w:t>Tsesis et al's direct retrospective comparison found a complete healing rate of 91% with modern technique versus 44% with traditional technique at a minimum 6-month follow-up [1, p.299].</w:t>
      </w:r>
    </w:p>
    <w:p>
      <w:pPr>
        <w:pStyle w:val="ListBullet"/>
      </w:pPr>
      <w:r>
        <w:t>Setzer et al's meta-analysis (12 traditional studies/925 teeth versus 9 EMS studies/699 teeth) found a pooled EMS success rate of 94% versus 59% for traditional surgery — a relative risk ratio of 1.6 in EMS's favor [1, p.299].</w:t>
      </w:r>
    </w:p>
    <w:p>
      <w:pPr>
        <w:pStyle w:val="ListBullet"/>
      </w:pPr>
      <w:r>
        <w:t>A follow-up meta-analysis by the same group, further splitting "contemporary" surgery (microtips but no high magnification) from true EMS, found high magnification itself added a real but smaller increment — 94% for EMS versus 88% for contemporary root-end surgery without high magnification [1, p.299].</w:t>
      </w:r>
    </w:p>
    <w:p>
      <w:pPr>
        <w:pStyle w:val="ListBullet"/>
      </w:pPr>
      <w:r>
        <w:t>Tsesis et al's 18-study meta-analysis of modern technique reported an 89% 1-year success rate, found no significant difference between operating microscopes and endoscopes, but found both significantly outperformed loupes — and found MTA produced significantly higher success rates than other retrofilling materials [1, p.299].</w:t>
      </w:r>
    </w:p>
    <w:p>
      <w:pPr>
        <w:pStyle w:val="ListBullet"/>
      </w:pPr>
      <w:r>
        <w:t>Comparing Torabinejad et al's own two systematic reviews six years apart is itself instructive: the 2009 review (all eligible prior surgeries) reported 78% (2-4 year) and 72% (4-6 year) success, while the 2015 review (restricted to microsurgery only) reported markedly higher 90% and 84% success at the same intervals — with tooth survival rates (94% and 88%) running even higher than healing success, since a tooth can remain clinically retained and functional even in a radiographically uncertain case [1, p.299].</w:t>
      </w:r>
    </w:p>
    <w:p>
      <w:r>
        <w:rPr>
          <w:b w:val="0"/>
          <w:i w:val="0"/>
        </w:rPr>
        <w:t>The clinical conclusion from this body of evidence is unambiguous: modern microsurgical technique is clearly superior to traditional technique and should be the universal standard for endodontic surgery. That said, even with modern technique, treated teeth continue to be lost at a low but real rate over time — microsurgery raises the success ceiling substantially but does not make long-term failure impossible [1, p.299].</w:t>
      </w:r>
    </w:p>
    <w:p>
      <w:r>
        <w:rPr>
          <w:b w:val="0"/>
          <w:i w:val="0"/>
        </w:rPr>
        <w:t>A genuinely important methodological caveat, worth stating explicitly rather than letting the impressive percentages above stand unqualified, comes from Ingle's citation of Mead et al's systematic literature search: of 79 clinical studies on periapical surgery success and failure published since 1970, only 7 were low-level randomized controlled trials and 4 were cohort studies, with the remaining 68 split between case-control studies and — the large majority, 56 of the 79 — simple case series. The majority of the frequently quoted "success and failure" literature in this field is, by evidence-hierarchy standards, case-series-level evidence, not controlled-trial evidence [3, p.825]. This does not undermine the pooled conclusions already reported above, but it does mean they should be held with appropriately calibrated confidence rather than treated as definitively settled by randomized evidence. One further randomized comparison is worth citing directly alongside the meta-analytic figures already given: a prospective RCT of 399 patients found an overall success rate of 80.5% with ultrasonic tip root-end preparation versus 70.9% with conventional burs — a real, controlled-trial-level data point (rather than the pooled/retrospective comparisons above) specifically isolating the preparation-method variable [3, p.819].</w:t>
      </w:r>
    </w:p>
    <w:p>
      <w:pPr>
        <w:pStyle w:val="Heading3"/>
      </w:pPr>
      <w:r>
        <w:t>5.7.4 Prognostic Factors</w:t>
      </w:r>
    </w:p>
    <w:p>
      <w:r>
        <w:rPr>
          <w:b w:val="0"/>
          <w:i w:val="0"/>
        </w:rPr>
        <w:t>Prognostic factors for apical surgery fall into three categories, and understanding which ones are and are not load-bearing materially changes how a clinician should counsel a patient before surgery [1, p.311]:</w:t>
      </w:r>
    </w:p>
    <w:p>
      <w:pPr>
        <w:pStyle w:val="ListBullet"/>
      </w:pPr>
      <w:r>
        <w:t>Patient-related factors — age, sex, health, medication, smoking. Von Arx et al's meta-analysis of 38 clinical studies found that age and sex did not meaningfully influence healing at the pooled level, even though several individual studies (Kreisler et al, Song et al) reported significant age or sex effects in their own cohorts — a real example of individual-study findings not surviving pooled meta-analysis, and a caution against over-weighting any single study's demographic finding [1, p.311].</w:t>
      </w:r>
    </w:p>
    <w:p>
      <w:pPr>
        <w:pStyle w:val="ListBullet"/>
      </w:pPr>
      <w:r>
        <w:t>Tooth-related factors — these do meaningfully influence healing. Maxillary and mandibular anterior teeth showed the highest estimated healing rates (85% and 88% respectively); mandibular molars showed the lowest (64%) — directly consistent with the anatomic access difficulty already established for mandibular molars in Sub-Module 5.2. Preoperative pain, preoperative signs, root canal filling density, lesion presence, and lesion size all independently influenced outcome [1, p.311].</w:t>
      </w:r>
    </w:p>
    <w:p>
      <w:pPr>
        <w:pStyle w:val="ListBullet"/>
      </w:pPr>
      <w:r>
        <w:t>Treatment-related factors — type of surgery (first-time surgery clearly outperforms resurgery), root-end cavity preparation technique (ultrasonic microtips over burs), and root-end filling material (MTA over SuperEBA) all independently influenced healing [1, p.311].</w:t>
      </w:r>
    </w:p>
    <w:p>
      <w:r>
        <w:rPr>
          <w:b w:val="0"/>
          <w:i w:val="0"/>
        </w:rPr>
        <w:t>Two specific, quantified findings deserve individual emphasis because of their direct impact on intraoperative decision-making rather than preoperative case selection alone. Von Arx et al's 5-year prospective study found interproximal crestal bone level to be a genuine outcome predictor: teeth with no or minor (&lt; 3 mm) mesial and distal bone loss healed in 78% of cases, versus 53% for teeth with more bone loss — and the same study confirmed MTA's superiority over SuperEBA at long-term follow-up (86% versus 67%) [1, p.311]. Tawil et al identified root dentinal microcracks, detected intraoperatively at the resected root face by transillumination, as a powerful and previously underappreciated predictor: healing at 1 and 3 years was 95%/97% in teeth without visible microcracks versus just 30%/32% in teeth with them — a roughly threefold difference that argues for careful intraoperative root-face inspection as a genuine prognostic (not merely technical) step [1, p.312]. A separate retrospective study found that the presence of an isthmus in a molar root carried a sixfold higher risk of failure on multivariate analysis, directly reinforcing why isthmus management (Sub-Module 5.3) is considered one of the technically hardest and most outcome-critical steps in the entire procedure [1, p.312].</w:t>
      </w:r>
    </w:p>
    <w:p>
      <w:r>
        <w:rPr>
          <w:b w:val="0"/>
          <w:i w:val="0"/>
        </w:rPr>
        <w:t>A systematic review by Serrano-Gimenez et al of 23 papers consolidates this into a single practical list of factors positively associated with successful outcome: patient age under 45, absence of preoperative signs and symptoms, maxillary anterior or premolar location, single-rooted teeth, lesions under 10 mm in diameter, non-cystic lesions, no marginal periodontium involvement, no perforating lesion, adequate root-filling length, MTA as the root-end filling material, apical resection of at least 3 mm (consistent with the 5.3/5.4 resection-depth rationale), absence of an oroantral fistula, and first-time (rather than repeat) surgery [1, p.312].</w:t>
      </w:r>
    </w:p>
    <w:p>
      <w:r>
        <w:rPr>
          <w:b w:val="0"/>
          <w:i w:val="0"/>
        </w:rPr>
        <w:t>Cohen's independent meta-analysis, drawn from a different dataset than von Arx's or Serrano-Gimenez's work above, expresses several of these same factors as risk ratios with confidence intervals — a genuinely distinct quantitative lens worth citing alongside, not instead of, the percentage-based findings already given: small (≤5 mm) versus large lesions (RR 1.2), one versus both cortical plates involved (RR 1.2), absence versus presence of previous surgery (RR 1.2), use of magnification (RR 1.5, the single largest effect size in this dataset), minimal versus obvious bevel on root-end resection (RR 1.3), ultrasonic tip versus bur for retro-cavity preparation (RR 1.3), and retro-filling material — MTA, SuperEBA, and IRM each performed similarly to one another but all significantly outperformed amalgam (RR 1.2) [2, PDF p.2237]. Two further individual-study findings add genuinely new factors not named in the lists above: periodontal status was the single strongest prognostic factor identified in this dataset (RR 2.1), and quality of the coronal restoration was also significant (RR 1.6) — both factors that sit outside the surgery itself but materially affect its outcome, reinforcing that case selection (Sub-Module 5.1) and restorative planning are inseparable from the surgical outcome, not merely prerequisites to it [2, PDF p.2237].</w:t>
      </w:r>
    </w:p>
    <w:p>
      <w:r>
        <w:rPr>
          <w:b w:val="0"/>
          <w:i w:val="0"/>
        </w:rPr>
        <w:t>This same dataset also reports a negative-finding list worth stating as plainly as the positive one, since a genuine absence of effect is itself clinically useful information: patient age, patient sex, general health, tooth type, quality of the preexisting root canal filling (judged radiographically), and — a commonly asked clinical question worth answering definitively — the histologic diagnosis of the biopsied periapical lesion (cyst versus granuloma) all had minimal effect on surgical retreatment outcome [2, PDF pp.2238-2239]. A further genuinely counterintuitive negative finding concerns guided tissue regeneration specifically: although GTR membrane or grafting material is widely advocated for through-and-through defects (missing both buccal and palatal/lingual cortical plates), and the literature reports on it are conflicting, this same meta-analysis did not find a significant influence of GTR on periapical healing outcome — a real caution against assuming this adjunct meaningfully improves the radiographic healing outcome itself, distinct from whatever bone-quality or bone-quantity benefits it may still provide (Sub-Module 5.5) [2, PDF p.2239].</w:t>
      </w:r>
    </w:p>
    <w:p>
      <w:r>
        <w:rPr>
          <w:b w:val="0"/>
          <w:i w:val="0"/>
        </w:rPr>
        <w:t>Tooth survival — as opposed to radiographic healing — is a distinct outcome measure that had, at the time of this writing, been adopted in only one study of surgical cases specifically. That study reported a median survival time of 92.1 months (95% CI 40.9-143.4) for first-time surgery, versus just 39.1 months (95% CI 6.1-72.1) for resurgery — a roughly 2.4-fold difference in median survival time that gives concrete, time-based weight to the "first-time surgery outperforms resurgery" finding already established above, expressed in a genuinely different unit (months of survival) than the percentage-based success rates used elsewhere in this file [2, PDF pp.2239-2240].</w:t>
      </w:r>
    </w:p>
    <w:p>
      <w:r>
        <w:rPr>
          <w:b w:val="0"/>
          <w:i w:val="0"/>
        </w:rPr>
        <w:t>Lieblich's own consolidated success/failure factor list, compiled from an oral surgeon's clinical perspective, corroborates the tooth-related and treatment-related factors above from an independent source and adds real named long-term survival studies beyond the systematic reviews already cited: preoperative factors favoring success include a dense orthograde fill, healthy periodontal status (no dehiscence, adequate crown-to-root ratio), a radiolucent defect confined to the apical third, and treatment of a maxillary incisor or the mesiobuccal root of a maxillary molar specifically; failure factors include clinical or radiographic evidence of fracture, poor orthograde filling, marginal leakage of the crown or post, poor preoperative periodontal status (especially furcation involvement), evidence of post perforation, and treatment of a mandibular incisor [4, pp.123-124]. Once a case is classified as healed by radiographic bone fill, long-term stability is genuinely excellent: Rud et al's retrospective review found that cases showing radiographic bone fill remained stable throughout follow-up periods extending up to 15 years [4, p.124]. Basten et al reported a 92% survival rate at 12 years for restorations placed on endodontically treated, surgically managed teeth, and Blomlöf and Jansson found 89% 10-year survival specifically for surgically treated molars with healthy periodontal status — with long posts in teeth retaining little coronal structure being the factor most consistently associated with failure in this data, directly echoing the crown-to-root-ratio and coronal-restoration-quality findings already established above from independent sources [4, p.123]. A further, genuinely distinct data point concerns surgery performed without any orthograde treatment at all, for teeth with calcified canals too difficult to negotiate conventionally: Danin et al found at least 50% complete radiographic healing with only 1 failure in 10 such cases over a 1-year observation period — despite bacteria still remaining in the canals of 90% of these teeth, a real caution that radiographic success in this specific scenario should not be read as confirmation that the canal system itself was rendered bacteria-free, and that later failure remains a real possibility even in an apparently successful case [4, p.123].</w:t>
      </w:r>
    </w:p>
    <w:p>
      <w:pPr>
        <w:pStyle w:val="Heading3"/>
      </w:pPr>
      <w:r>
        <w:t>5.7.5 Soft Tissue and Esthetic Outcomes</w:t>
      </w:r>
    </w:p>
    <w:p>
      <w:r>
        <w:rPr>
          <w:b w:val="0"/>
          <w:i w:val="0"/>
        </w:rPr>
        <w:t>Incision and flap design (Sub-Module 5.2) has measurable, quantified downstream effects on soft tissue esthetics, not just on access. Von Arx et al's visual scoring of 72 cases at 1 year found no scarring of gingiva or mucosa in 33% of cases, mild scarring in 60%/47% respectively, and severe scarring in 7%/19% respectively — the alveolar mucosa scarred severely far more often than the (less mobile) attached gingiva [1, p.309]. Incision type mattered directly: the intrasulcular incision and papilla base flap essentially never produced substantial gingival scarring, while 10% of submarginal incisions did — and Kreisler et al independently confirmed more unfavorable scarring with submarginal incisions than intrasulcular incisions at 6-month follow-up [1, p.309]. Changes in probing depth and clinical attachment level were generally small (on the order of 0.2–0.3 mm) and stabilized within the first postoperative year in the studies reviewed, with essentially no further change between years 1 and 5 in one 186-tooth, 5-year longitudinal study — meaning careful flap technique genuinely preserves periodontal health, not just gross appearance [1, p.309].</w:t>
      </w:r>
    </w:p>
    <w:p>
      <w:pPr>
        <w:pStyle w:val="Heading3"/>
      </w:pPr>
      <w:r>
        <w:t>5.7.6 Patient-Centered and Quality-of-Life Outcomes</w:t>
      </w:r>
    </w:p>
    <w:p>
      <w:r>
        <w:rPr>
          <w:b w:val="0"/>
          <w:i w:val="0"/>
        </w:rPr>
        <w:t>Across a substantial and consistent body of prospective data, postoperative pain and swelling after apical surgery are generally minor to moderate, peak within the first one to two days, and resolve steadily to minimal levels within about a week [1, p.312]. Several individually useful findings: Kvist and Reit found significantly more discomfort after surgery than after nonsurgical retreatment in a randomized comparison, with surgical patients specifically more likely to miss work from swelling and skin discoloration [1, p.310]. Iqbal et al's 199-patient self-assessment found a majority (67%) rated surgery as more pleasant than they had expected, and found it less painful (48%) or equally painful (38%) as nonsurgical treatment — directly useful for setting patient expectations before consent, since patients commonly anticipate surgery to be worse than it is [1, p.311]. Garcia et al found oral hygiene and smoking status to be real, independent modifiers of postoperative course: patients with poor oral hygiene and smokers both reported more pain and swelling than their counterparts — a genuine, actionable preoperative counseling point [1, p.310].</w:t>
      </w:r>
    </w:p>
    <w:p>
      <w:r>
        <w:rPr>
          <w:b w:val="0"/>
          <w:i w:val="0"/>
        </w:rPr>
        <w:t>A genuinely counterintuitive finding worth flagging: Tsesis et al's direct comparison of traditional versus modern microsurgical technique found that patients in the modern technique group reported significantly less postoperative pain but more difficulty with mouth opening, mastication, and speech than the traditional-technique group — a real tradeoff between the two outcome domains rather than modern technique being uniformly more comfortable in every dimension [1, p.310]. On cost-effectiveness, Kim and Solomon found endodontic microsurgery more cost-effective than alternative treatments, though the source cautions this comparison rested on short-term microsurgical success rates weighed against longer-term survival data for the alternatives — a methodological mismatch worth keeping in mind when citing this figure, since it is not a true apples-to-apples comparison [1, p.311].</w:t>
      </w:r>
    </w:p>
    <w:p>
      <w:pPr>
        <w:pStyle w:val="Heading3"/>
      </w:pPr>
      <w:r>
        <w:t>5.7.7 Summary</w:t>
      </w:r>
    </w:p>
    <w:p>
      <w:r>
        <w:rPr>
          <w:b w:val="0"/>
          <w:i w:val="0"/>
        </w:rPr>
        <w:t>Taken together, the outcome evidence for modern endodontic microsurgery supports a genuinely favorable overall picture for patient counseling: long-term success is very good (consistently in the high-80s to low-90s percent range across multiple independent meta-analyses), symptoms are generally moderate and self-limiting within about a week, and careful technique preserves both periodontal health and soft tissue esthetics. At the same time, the evidence base supports being specific and honest about which factors shift an individual case's prognosis meaningfully — tooth location and type, crestal bone level, root-end filling material, resection depth, the presence of dentinal microcracks or a root isthmus, and whether the case is a first-time surgery or a resurgery — rather than quoting a single blanket success rate to every patient regardless of their specific case characteristics [1, p.312].</w:t>
      </w:r>
    </w:p>
    <w:p>
      <w:pPr>
        <w:pStyle w:val="Heading1"/>
      </w:pPr>
      <w:r>
        <w:t>References</w:t>
      </w:r>
    </w:p>
    <w:p>
      <w:r>
        <w:rPr>
          <w:b w:val="0"/>
          <w:i w:val="0"/>
        </w:rPr>
        <w:t>[1] Torabinejad M, Rubinstein R, eds. The Art and Science of Contemporary Surgical Endodontics. Hanover Park, IL: Quintessence Publishing, 2019.</w:t>
      </w:r>
    </w:p>
    <w:p>
      <w:r>
        <w:rPr>
          <w:b w:val="0"/>
          <w:i w:val="0"/>
        </w:rPr>
        <w:t>[2] Torabinejad M, Fouad AF, Shabahang S, eds. Cohen's Pathways of the Pulp, 12th ed. St. Louis: Elsevier; 2021. Ch.17, "Evaluation of Outcomes" (Ng YL, Gulabivala K).</w:t>
      </w:r>
    </w:p>
    <w:p>
      <w:r>
        <w:rPr>
          <w:b w:val="0"/>
          <w:i w:val="0"/>
        </w:rPr>
        <w:t>[3] Rotstein I, Ingle JI, eds. Ingle's Endodontics, 7th ed. Shelton, CT: PMPH-USA; 2019. Ch.24, "Surgical Endodontics."</w:t>
      </w:r>
    </w:p>
    <w:p>
      <w:r>
        <w:rPr>
          <w:b w:val="0"/>
          <w:i w:val="0"/>
        </w:rPr>
        <w:t>[4] Lieblich SE. Endodontic Surgery. Dent Clin North Am 2012;56(1):121-132.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