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Sub-Module 6.1: Traumatic Dental Injuries</w:t>
      </w:r>
    </w:p>
    <w:p>
      <w:r>
        <w:rPr>
          <w:b/>
          <w:i w:val="0"/>
        </w:rPr>
        <w:t>Module 2 — Endodontics, Sub-Module 6: Special Endodontic Situations</w:t>
      </w:r>
    </w:p>
    <w:p>
      <w:pPr>
        <w:pStyle w:val="Heading1"/>
      </w:pPr>
      <w:r>
        <w:rPr>
          <w:b w:val="0"/>
          <w:i w:val="0"/>
        </w:rPr>
        <w:t>Note on Sources</w:t>
      </w:r>
    </w:p>
    <w:p>
      <w:r>
        <w:rPr>
          <w:b w:val="0"/>
          <w:i w:val="0"/>
        </w:rPr>
        <w:t>Built primarily from Berman LH, Blanco L, Cohen S, eds. A Clinical Guide to Dental Traumatology (Elsevier/Mosby) — the outline's own named primary trauma reference, and the single richest source found in this project's library for luxation and avulsion management, with real quantified incidence, pulp-necrosis, and healing-outcome data drawn from named clinical studies (chiefly Andreasen and Andreasen). Cohen's Pathways of the Pulp, 12th ed., Ch.21 ("The Role of Endodontics After Dental Traumatic Injuries," Kahler) and Ingle's Endodontics, 7th ed., Ch.12 ("Endodontic Considerations in Dental Trauma," Trope) were checked and used as secondary/corroborating sources for the endodontic-specific management principles once the tooth is in the endodontist's care, rather than the emergency trauma-management technique that is Berman's own particular strength. The AAE Glossary of Endodontic Terms, 8th ed., supplies the formal injury-classification definitions. This is a first-pass build of 6.1 from its own named primary sources; it has not yet been run through the project's full multi-source completeness audit used for Sub-Modules 4 and 5 (e.g., against Andreasen's own Textbook and Color Atlas of Traumatic Injuries to the Teeth, extracted this session as a further available source but not yet mined in depth, or against a DCNA trauma-specific article search) — available as a follow-up.</w:t>
      </w:r>
    </w:p>
    <w:p>
      <w:r>
        <w:rPr>
          <w:b w:val="0"/>
          <w:i w:val="0"/>
        </w:rPr>
        <w:t>Citation convention: Berman's has real, directly recoverable printed page numbers with a confirmed offset of marker = printed page (offset 0), verified at multiple points spanning the concussion/subluxation/luxation and avulsion chapters — cited as `[1, p.X]`. Cohen's has no recoverable printed folio in this extraction (standing project convention) — cited via the PDF-page fallback `[2, PDF p.X]`, where the Ch.21 chapter body was located and verified at its true full-book marker (2555), not assumed from a first grep hit, per the standing lesson recorded from the Sub-Module 5 audit. Ingle's offset for Ch.12 was independently verified this session as marker+372 = printed page (confirmed at two points) — cited as `[3, p.X]`. The AAE Glossary uses its own confirmed offset (marker = printed page) — cited as `[4, p.X]`.</w:t>
      </w:r>
    </w:p>
    <w:p>
      <w:pPr>
        <w:pStyle w:val="Heading2"/>
      </w:pPr>
      <w:r>
        <w:rPr>
          <w:b w:val="0"/>
          <w:i w:val="0"/>
        </w:rPr>
        <w:t>6.1 Traumatic Dental Injuries</w:t>
      </w:r>
    </w:p>
    <w:p>
      <w:pPr>
        <w:pStyle w:val="Heading3"/>
      </w:pPr>
      <w:r>
        <w:rPr>
          <w:b w:val="0"/>
          <w:i w:val="0"/>
        </w:rPr>
        <w:t>6.1.1 Trauma Classification &amp; Management</w:t>
      </w:r>
    </w:p>
    <w:p>
      <w:r>
        <w:rPr>
          <w:b w:val="0"/>
          <w:i w:val="0"/>
        </w:rPr>
        <w:t>Dental luxation injuries are traditionally classified into six categories of increasing severity, originally adapted from the World Health Organization's International Classification of Diseases by Jens and Frances Andreasen to better reflect the distinct clinical entities actually seen in practice [1, p.73]. The severity of the injury correlates directly with healing potential and prognosis, particularly when inadequate emergency treatment is given, and severely luxated and displaced teeth tend to develop more extensive sequelae — pulp necrosis, root resorption, canal calcification, or cessation of root development in immature teeth — than teeth suffering only minor luxation [1, p.73].</w:t>
      </w:r>
    </w:p>
    <w:p>
      <w:r>
        <w:rPr>
          <w:b/>
          <w:i w:val="0"/>
        </w:rPr>
        <w:t xml:space="preserve">DEFINITION — Concussion: </w:t>
      </w:r>
      <w:r>
        <w:rPr>
          <w:b w:val="0"/>
          <w:i w:val="0"/>
        </w:rPr>
        <w:t>an injury to the tooth-supporting structures, without abnormal loosening or displacement of the tooth; the tooth is sometimes sensitive to percussion [4, p.11].</w:t>
      </w:r>
    </w:p>
    <w:p>
      <w:r>
        <w:rPr>
          <w:b w:val="0"/>
          <w:i w:val="0"/>
        </w:rPr>
        <w:t>A concussed tooth is, by definition, in its normal position with no abnormal mobility, though it may be tender to percussion or mastication, with no sulcular bleeding and a normal periodontal ligament width radiographically [1, p.73]. Even when a patient describes the injury as "mild," the clinician should still expose several periapical radiographs from different angulations to rule out an occult root fracture, since the patient's perceived severity is not a reliable guide [1, p.74]. A recently concussed tooth may be unresponsive to pulp sensibility testing without this indicating pulp necrosis, so baseline sensibility testing at the emergency visit is still essential for comparison at follow-up [1, p.74]. Concussed teeth do not require emergency treatment beyond examination and baseline documentation [1, p.79].</w:t>
      </w:r>
    </w:p>
    <w:p>
      <w:r>
        <w:rPr>
          <w:b/>
          <w:i w:val="0"/>
        </w:rPr>
        <w:t xml:space="preserve">DEFINITION — Subluxation: </w:t>
      </w:r>
      <w:r>
        <w:rPr>
          <w:b w:val="0"/>
          <w:i w:val="0"/>
        </w:rPr>
        <w:t>an injury to the tooth-supporting structures with abnormal loosening, but without displacement of the tooth; the tooth is usually sensitive to percussion [4, p.32].</w:t>
      </w:r>
    </w:p>
    <w:p>
      <w:r>
        <w:rPr>
          <w:b w:val="0"/>
          <w:i w:val="0"/>
        </w:rPr>
        <w:t>The subluxated tooth remains in its original position but shows some mobility and possible tenderness to palpation, usually with minor sulcular bleeding and a normal or only slightly thickened periodontal ligament space radiographically [1, p.74]. Because intra-alveolar root fractures can present almost identically to a subluxation, careful radiographic and clinical assessment is essential to distinguish the two [1, p.74]. Subluxated teeth generally do not require emergency treatment, except for occlusal adjustment if mastication is painful, or brief splinting in very young or mentally compromised patients who might otherwise re-injure the tooth [1, p.80].</w:t>
      </w:r>
    </w:p>
    <w:p>
      <w:r>
        <w:rPr>
          <w:b/>
          <w:i w:val="0"/>
        </w:rPr>
        <w:t xml:space="preserve">DEFINITION — Luxation: </w:t>
      </w:r>
      <w:r>
        <w:rPr>
          <w:b w:val="0"/>
          <w:i w:val="0"/>
        </w:rPr>
        <w:t>displacement of a tooth from its original position in the alveolus, without total avulsion, resulting from acute trauma [4, p.32].</w:t>
      </w:r>
    </w:p>
    <w:p>
      <w:r>
        <w:rPr>
          <w:b w:val="0"/>
          <w:i w:val="0"/>
        </w:rPr>
        <w:t>Lateral luxation displaces the tooth facially or lingually/palatally, with or without an accompanying apical displacement; the single most important factor determining the treatment plan for a luxated tooth is the presence or absence of significant apical displacement at the time of injury, not simply the direction of displacement [1, p.74]. Without apical displacement, the apex remains in its original location, the tooth is often movable with light digital pressure back into position, and — because the neurovascular bundle is likely intact — endodontic therapy is usually unnecessary, even though the pulp may remain unresponsive to cold or electric testing for weeks or months afterward [1, p.74]. With apical displacement, the apex has typically broken through the facial cortical plate and become wedged there, producing a characteristic dull metallic percussion sound; the neurovascular bundle is very likely compromised, and a mature (closed-apex) tooth should be expected to require root canal therapy, while an immature tooth should be given a chance to revascularize under close monitoring [1, pp.74-75].</w:t>
      </w:r>
    </w:p>
    <w:p>
      <w:r>
        <w:rPr>
          <w:b w:val="0"/>
          <w:i w:val="0"/>
        </w:rPr>
        <w:t>Extrusive luxation displaces the tooth incisally, loosening it and extending it visibly beyond the occlusal plane of adjacent teeth; a widened periodontal ligament space mesially and distally with an apical radiolucent "empty" space is the characteristic radiographic finding, and the greater the extent of extrusion, the greater the likelihood the neurovascular bundle has been severed [1, p.75]. Intrusive luxation drives the tooth apically into the alveolar bone; it is the single most devastating luxation injury, because the periodontal ligament is crushed as the tooth is forced into its conically shaped socket, and in almost all cases the neurovascular bundle is severed outright — the more severe the intrusion, the poorer the prognosis [1, pp.76,79]. Intruded teeth characteristically show complete radiographic disappearance of the periodontal ligament space and elicit a distinctive high-pitched metallic percussion sound; clinical signs can include lip edema, vestibular hematoma, gingival laceration, and — rarely — bleeding from the nose if the apex is pushed through the nasal floor [1, pp.76,78].</w:t>
      </w:r>
    </w:p>
    <w:p>
      <w:r>
        <w:rPr>
          <w:b w:val="0"/>
          <w:i w:val="0"/>
        </w:rPr>
        <w:t>Emergency repositioning of luxated teeth uses minimal additional trauma to the periodontal ligament; vasoconstrictor-containing local anesthetic should be avoided if possible, since 1:100,000 epinephrine has been shown to diminish or stop blood circulation in a healthy anterior pulp for up to 40 minutes, adding unwanted tissue stress to an already injured pulp [1, p.79]. Laterally luxated teeth without apical displacement are gradually moved back with digital pressure; teeth with apical displacement must first have the wedged apex released — by pushing it coronally or, if necessary, by gently pulling with extraction forceps in a straight downward direction with no rotation — before the tooth will swing back into position [1, pp.80-82]. Once repositioned, it will often remain stable on its own periodontal ligament fibers without splinting, and splinting is generally not recommended for concussion or subluxation at all [1, pp.80,82]. Extruded teeth are gently manipulated back into the socket with digital pressure, sometimes held with a formed pink wax plate while the splint is placed [1, p.80]. For intruded permanent teeth, four treatment options exist: allow spontaneous eruption, surgical crown uncovering, orthodontic extrusion, or surgical extrusion [1, p.83]; the choice depends on the degree of intrusion — a tooth intruded less than 3mm has some chance of spontaneous re-eruption, but spontaneous eruption without complication is unusual beyond 6mm, and delaying eruption risks replacement resorption (ankylosis), which can begin within weeks [1, pp.84-85]. Where a splint is indicated, it should be flexible, allow some physiologic tooth mobility, and be removed within 7-10 days for most luxations, while severe intrusion with surgical repositioning or an associated alveolar fracture may warrant a longer splinting period, not exceeding 5-6 weeks [1, p.86].</w:t>
      </w:r>
    </w:p>
    <w:p>
      <w:r>
        <w:rPr>
          <w:b w:val="0"/>
          <w:i w:val="0"/>
        </w:rPr>
        <w:t>Endodontic treatment, when indicated, is deliberately deferred to a follow-up visit 7-10 days after the emergency visit rather than performed at the time of injury — this avoids additional trauma to the tooth and its periodontal ligament during access and instrumentation, and avoids the detrimental effect that placing intracanal calcium hydroxide too early can have on periodontal healing [1, p.89]. The pulp of an immature luxated tooth (open or displaced) should always be given a genuine chance to survive, heal, or revascularize before endodontic treatment is undertaken; these teeth are monitored, and treatment is instituted only if pulp necrosis actually develops [1, p.90]. A single negative response to cold or electric pulp testing should never, by itself, be taken as proof that the pulp is necrotic [1, p.90]. Real quantified prevalence data from Andreasen and Pedersen's classic follow-up study directly illustrates why severity of luxation, not tooth appearance, should drive the clinician's prognostic expectations for pulp necrosis: concussion 3% (5/178 teeth), subluxation 6% (14/223), extrusive luxation 26% (14/53), lateral luxation 58% (71/122), and intrusive luxation 85% (62/61 teeth evaluated) [1, p.95]. Progressive external root resorption follows a similarly graded pattern by severity, ranging from 0% after concussion to 24% after intrusion [1, p.95].</w:t>
      </w:r>
    </w:p>
    <w:p>
      <w:pPr>
        <w:pStyle w:val="Heading3"/>
      </w:pPr>
      <w:r>
        <w:rPr>
          <w:b w:val="0"/>
          <w:i w:val="0"/>
        </w:rPr>
        <w:t>6.1.2 Trauma Complications</w:t>
      </w:r>
    </w:p>
    <w:p>
      <w:r>
        <w:rPr>
          <w:b w:val="0"/>
          <w:i w:val="0"/>
        </w:rPr>
        <w:t>Intra-alveolar (horizontal or oblique) root fractures extend through cementum, dentin, and pulp, most often in the coronal, middle, or apical third of the root, creating a coronal and an apical fragment separated by a diastasis [1, p.51].</w:t>
      </w:r>
    </w:p>
    <w:p>
      <w:r>
        <w:rPr>
          <w:b/>
          <w:i w:val="0"/>
        </w:rPr>
        <w:t xml:space="preserve">DEFINITION — Horizontal (oblique) root fracture: </w:t>
      </w:r>
      <w:r>
        <w:rPr>
          <w:b w:val="0"/>
          <w:i w:val="0"/>
        </w:rPr>
        <w:t>fracture due to traumatic injury confined to the root in a transverse plane, separating the coronal and apical segments [4, p.24].</w:t>
      </w:r>
    </w:p>
    <w:p>
      <w:r>
        <w:rPr>
          <w:b w:val="0"/>
          <w:i w:val="0"/>
        </w:rPr>
        <w:t>These fractures are relatively uncommon (5-7% of dental trauma), occur most often in maxillary incisors of 10- to 20-year-olds, and — because the pulp retains some elasticity — a striking majority of coronal fragments remain vital, with reported necrosis rates of only 20-24% [1, p.52]. When necrosis does occur, it typically develops within 2-9 months of the injury, and interestingly, when the coronal fragment does become nonvital, the apical fragment tends to remain vital — histologic evaluation of 12 such teeth found the apical fragment vital in all 12 cases [1, p.52]. Andreasen and Hjorting-Hansen's classic radiographic-histologic study divides intra-alveolar root fracture healing into four categories: calcific fusing of the fragments (a radiopaque calluslike repair, with the pulp usually remaining vital, occurring about 30% of the time), a connective-tissue band between the fragments (a narrow radiolucent space with rounded, cementum-covered fragment edges, about 43% of the time), bone between the fragments (an intact lamina dura around each fragment with bone filling the diastasis, the least common pattern, about 5% of the time), and granulation tissue between the fragments — nonhealing, with a wider radiolucent diastasis and inflammation or infection from either necrotic pulp or a communication with the gingival sulcus, occurring about 22% of the time [1, pp.54-55]. Sequelae specific to intra-alveolar root fractures include pulp canal obliteration (calcific metamorphosis, typically associated with a vital pulp and not itself an indication for endodontic treatment), internal resorption (an infrequent finding after this specific injury type, unlike its frequency after luxation or avulsion), and external resorption confined to the area proximal to the fracture site, which is usually transient and self-limiting [1, pp.54-55].</w:t>
      </w:r>
    </w:p>
    <w:p>
      <w:r>
        <w:rPr>
          <w:b w:val="0"/>
          <w:i w:val="0"/>
        </w:rPr>
        <w:t>The underlying healing mechanism, not previously detailed in this sub-module, explains why the four-category Andreasen &amp; Hjorting-Hansen healing classification above actually occurs: if the pulp remains intact at the fracture site with an uncompromised vascular supply and no infection, odontoblast progenitor cells form a small dentin bridge uniting the fragments after about 2 weeks in animal models, which then acts as an initial callus stabilizing the fracture before cementum deposition from the periodontal ligament gradually obliterates the fracture site — a process not radiographically confirmable as complete hard-tissue union earlier than 3 months after injury, and sometimes taking several years [5, p.342]. If the pulp is instead severed or severely stretched at the fracture level, a coronal revascularization process competes with periodontally-derived connective tissue ingrowth for dominance of the healing site — explaining the project's existing "connective tissue band" healing category directly. Where bacteria gain access to the coronal pulp (via a tear in the coronal periodontal ligament, exposed dentinal tubules from an associated crown fracture, or invading neovasculature), infected pulp necrosis and granulation tissue between the fragments result — the "nonhealing" category [5, pp.342-343].</w:t>
      </w:r>
    </w:p>
    <w:p>
      <w:r>
        <w:rPr>
          <w:b w:val="0"/>
          <w:i w:val="0"/>
        </w:rPr>
        <w:t>A genuinely important distinction worth flagging explicitly: the splinting duration for a root fracture is NOT the same as for a luxation injury. Root-fractured teeth require semi-rigid fixation (e.g., an acid-etch/resin splint) for about 1 month to ensure sufficient hard-tissue consolidation — materially longer than the 7-10 days used for luxation injuries in Section 6.1.1 — since longer splinting periods have not been shown to add further benefit, and forceful orthodontic-band-style immobilization is specifically contraindicated, as it risks further traumatizing an already-injured pulp [5, p.351]. Fractures located at the cervical third of the root, close to or communicating with the gingival crevice, carry the poorest prognosis for hard-tissue healing and may instead require removal of the coronal fragment with orthodontic or surgical extrusion of the remaining apical fragment — the same technique described for complicated crown-root fractures in Section 6.1.4 below [5, p.352]. Where extraction is ultimately unavoidable, careful removal of the apical fragment preserving the marginal socket wall is essential to prevent labio-lingual alveolar collapse that would compromise future esthetic restoration [5, p.352].</w:t>
      </w:r>
    </w:p>
    <w:p>
      <w:r>
        <w:rPr>
          <w:b w:val="0"/>
          <w:i w:val="0"/>
        </w:rPr>
        <w:t>Cohen's Ch.21 frames resorption, root fracture, and pulp necrosis as the three principal long-term sequelae of dental trauma that the treating clinician must actively monitor for, rather than assume absent simply because the emergency visit went uneventfully [2, PDF p.2555]. Prevention of replacement resorption after avulsion rests specifically on minimizing extraoral dry time and avoiding dry storage of an avulsed tooth, since it is precisely the loss of viable periodontal ligament cells during dry exposure that triggers the ankylotic healing pathway described in 6.1.3 below [1, p.111]. Pulp necrosis after trauma can develop anywhere from hours to weeks after the injury and, once established, requires root canal treatment; no specific measure reliably prevents it once the neurovascular supply has been compromised by the injury itself, which is why the posttrauma monitoring schedule (rather than a single treatment intervention) is the real clinical safeguard [3, p.377].</w:t>
      </w:r>
    </w:p>
    <w:p>
      <w:pPr>
        <w:pStyle w:val="Heading3"/>
      </w:pPr>
      <w:r>
        <w:rPr>
          <w:b w:val="0"/>
          <w:i w:val="0"/>
        </w:rPr>
        <w:t>6.1.3 Avulsion (Exarticulation) and Its Management</w:t>
      </w:r>
    </w:p>
    <w:p>
      <w:r>
        <w:rPr>
          <w:b/>
          <w:i w:val="0"/>
        </w:rPr>
        <w:t xml:space="preserve">DEFINITION — Avulsion (exarticulation): </w:t>
      </w:r>
      <w:r>
        <w:rPr>
          <w:b w:val="0"/>
          <w:i w:val="0"/>
        </w:rPr>
        <w:t>the complete separation of a tooth from its alveolus by traumatic injury; most commonly used in reference to dental injuries resulting from acute trauma [4, p.11].</w:t>
      </w:r>
    </w:p>
    <w:p>
      <w:r>
        <w:rPr>
          <w:b w:val="0"/>
          <w:i w:val="0"/>
        </w:rPr>
        <w:t>Avulsion is the most severe luxation injury, and the survival of a replanted avulsed tooth depends above all on the duration and conditions of the extraoral time — particularly whether the root surface was allowed to dry out [1, p.100]. If the root surface desiccates, the periodontal ligament and the protective cementum/precementum layers break down completely, and the posttraumatic inflammatory response that follows recruits multinucleated clastic cells capable of resorbing the now-exposed dentin — the biologic basis of replacement resorption [1, p.100]. Immediate replantation at the site of injury is the single best-outcome option; if debris is present, the root should only be rinsed briefly under running water, never scraped or wiped, to preserve viable periodontal ligament and cemental cells [1, pp.100-101]. If immediate replantation is not practical, the tooth should be stored in an appropriate transport medium — in descending order of preference: a specialized cell-culture storage system (e.g., Hank's Balanced Salt Solution/HBSS-based kits, which can preserve periodontal ligament cell viability for up to 12-24 hours), milk (readily available, near-ideal osmolality and pH, maintains a high percentage of viable cells for at least 3 hours, and is relatively bacteria-free when pasteurized), physiologic saline, or saliva/the vestibule of the mouth (acceptable for only a short interval, since saliva's osmolality and pH are far from ideal and it introduces bacteria) [1, pp.101-102]. Water should never be used as a transport medium — its hypotonic osmolality causes massive, rapid cell lysis within minutes [1, p.101].</w:t>
      </w:r>
    </w:p>
    <w:p>
      <w:r>
        <w:rPr>
          <w:b w:val="0"/>
          <w:i w:val="0"/>
        </w:rPr>
        <w:t>At the dental office, management is governed chiefly by the extraalveolar dry time and the stage of root development. Cell death begins soon after root-surface drying, reaches critical levels around 30 minutes, and increases exponentially after 45-60 minutes, leaving only a few viable periodontal ligament cells after 60-90 minutes of dry exposure [1, p.104]. For a dry time under 1 hour (or a tooth kept in a proper storage medium), the tooth is gently debrided with saline and replanted as soon as possible; soaking in tissue-friendly media before replantation has not been shown to improve outcomes over immediate replantation without pre-soaking [1, p.104]. An open apex greater than 1.1mm carries real potential for pulpal revascularization after replantation, with reported rates of 18-40%; soaking the tooth in doxycycline (1mg in approximately 10mL of physiologic saline) before replantation has been shown to significantly increase the rate of complete revascularization by reducing bacterial contamination, and recent animal data suggest covering the root with minocycline may aid revascularization even further [1, pp.104-105]. What is termed "pulp revascularization" often in fact fills the canal space with a nonspecific, bone-resembling hard tissue (osteodentin) rather than a normal pulp-dentin architecture, which can make later root canal treatment of these teeth technically difficult should it become necessary [1, p.105].</w:t>
      </w:r>
    </w:p>
    <w:p>
      <w:r>
        <w:rPr>
          <w:b w:val="0"/>
          <w:i w:val="0"/>
        </w:rPr>
        <w:t>When the extraalveolar dry time exceeds 1 hour with a closed apex, few to no viable periodontal ligament cells remain and soaking has not been shown to "revive" them; current International Association of Dental Traumatology (IADT) and American Association of Endodontists (AAE) guidance is to scrape off the dead cell layer and PDL remnants and soak the tooth in 2% stannous fluoride for 5 minutes before replantation, since this slows subsequent root resorption, though the overall prognosis for these teeth remains poor [1, pp.106-107]. When dry time exceeds 1 hour with an open apex, the prognosis is the worst of all avulsion presentations, since neither pulp, cementum, nor periodontal ligament retain any meaningful chance of revascularization or regeneration; extraoral root canal treatment before replantation is more practical in this scenario, and because ankylosis and eventual tooth loss are highly likely, a decoronation procedure (removing the crown to the level of crestal bone and leaving the ankylosing root submerged to preserve alveolar ridge volume for a future prosthesis) is a recognized management option, particularly in a growing child [1, pp.107-108].</w:t>
      </w:r>
    </w:p>
    <w:p>
      <w:r>
        <w:rPr>
          <w:b w:val="0"/>
          <w:i w:val="0"/>
        </w:rPr>
        <w:t>Avulsed teeth are splinted with a semiflexible splint for 7-10 days, consistent with the splinting principles for luxated teeth described in 6.1.1; the duration of splinting matters more to outcome than the specific splint design, and animal data show a longer splinting duration (30 days versus 7 days) is actually associated with a higher incidence of replacement resorption [1, p.108]. Root canal therapy is not initiated at the emergency visit — every effort is instead directed at minimizing total extraoral time, and drilling an access cavity on a tooth that is still loose in its socket risks further injury to the healing periodontal ligament; treatment and calcium hydroxide placement are deliberately delayed at least 2 weeks to allow periodontal ligament reattachment, since placing calcium hydroxide too early can itself be detrimental to periodontal healing [1, p.108]. For systemic management, the International Association of Dental Traumatology recommends doxycycline at an age/weight-appropriate dose twice daily for 1 week after replantation based on animal evidence that it reduces root resorption and improves bone regeneration; however, because long-term tetracycline exposure can discolor developing dentin, children under 10 (or older children with incompletely developed anterior teeth) should instead receive penicillin 500mg four times daily for 7 days [1, p.109]. Ibuprofen is generally sufficient for analgesia, and 0.12% chlorhexidine mouth rinse twice daily for at least a week supports oral hygiene around the splint [1, p.109].</w:t>
      </w:r>
    </w:p>
    <w:p>
      <w:r>
        <w:rPr>
          <w:b w:val="0"/>
          <w:i w:val="0"/>
        </w:rPr>
        <w:t>Real quantified evidence directly reinforces why minimizing extraoral time matters more than any other single factor: in a follow-up study of 400 traumatically avulsed and replanted teeth, 73% of teeth replanted within 5 minutes went on to demonstrate periodontal ligament healing, compared with only 18% when the tooth was stored prior to replantation for any length of time — a stark illustration that the storage media comparisons in this section, while genuinely useful when immediate replantation is not possible, are a second-best option relative to truly immediate replantation [5, pp.470-471]. Timing of pulp extirpation also carries a specific, quantified threshold: one clinical study found that delayed pulp extirpation — specifically after 20 days — resulted in acceleration of inflammatory root resorption, giving the "2 weeks" extirpation window already described above a concrete outer boundary not to be exceeded [5, p.472]. For diagnosing replacement resorption (ankylosis), a mechanical mobility-testing device (Periotest®) has been shown to provide earlier diagnosis than radiography, which typically requires a full year to show clear evidence of root resorption, whereas ankylosis is usually detectable clinically by a simple percussion test within 4-8 weeks [5, p.471].</w:t>
      </w:r>
    </w:p>
    <w:p>
      <w:r>
        <w:rPr>
          <w:b w:val="0"/>
          <w:i w:val="0"/>
        </w:rPr>
        <w:t>Following pulpal necrosis after avulsion, the two principal consequences are cessation of root development and bacterial contamination of the pulpal space, the latter becoming the driving force behind further destruction of root and surrounding bone if not addressed promptly [1, pp.109-110]. Surface root resorption is the most benign outcome, probably occurring after nearly all luxation and avulsion injuries and self-limiting provided no further irritant maintains inflammation; it requires no treatment beyond confirming pulp vitality [1, p.110]. Replacement root resorption (ankylosis) develops when there has been massive damage to the periodontal ligament and cementum, most often after intrusive luxation or a prolonged dry-time avulsion, and is discussed further as a distinct entity in Sub-Module 6.4.2 [1, p.110].</w:t>
      </w:r>
    </w:p>
    <w:p>
      <w:pPr>
        <w:pStyle w:val="Heading3"/>
      </w:pPr>
      <w:r>
        <w:t>6.1.4 Crown and Crown-Root Fractures</w:t>
      </w:r>
    </w:p>
    <w:p>
      <w:r>
        <w:rPr>
          <w:b w:val="0"/>
          <w:i w:val="0"/>
        </w:rPr>
        <w:t>**Audit addition**: following a user-requested audit against Andreasen JO, Andreasen FM, Andersson L, eds. Textbook and Color Atlas of Traumatic Injuries to the Teeth, 4th ed. (Blackwell Munksgaard, 2007) — a 913-page, 28-chapter dedicated trauma monograph confirmed to be a genuinely richer single source for acute dental trauma than any previously used in this sub-module — a major structural gap was found and is corrected here: crown fractures alone account for 26-76% of dental injuries, yet neither crown fractures nor crown-root fractures from acute trauma had previously been covered anywhere in this sub-module (distinct from the spontaneous, non-traumatic crown-originating fractures already covered in Sub-Module 6.5). Offset confirmed this session as marker−16 = printed page (PAGE 296→280, PAGE 297→281), consistent with the single whole-book offset already established for this source — cited as `[5, p.X]`.</w:t>
      </w:r>
    </w:p>
    <w:p>
      <w:r>
        <w:rPr>
          <w:b/>
        </w:rPr>
        <w:t xml:space="preserve">DEFINITION — Crown fracture classification: </w:t>
      </w:r>
      <w:r>
        <w:t>(1) enamel infraction — an incomplete fracture (crack) of the enamel without loss of tooth substance; (2) enamel fracture — loss of tooth substance confined to enamel (uncomplicated crown fracture); (3) enamel-dentin fracture — loss of tooth substance involving enamel and dentin but not the pulp (uncomplicated crown fracture); (4) enamel-dentin fracture involving the pulp (complicated crown fracture) [5, p.280].</w:t>
      </w:r>
    </w:p>
    <w:p>
      <w:r>
        <w:rPr>
          <w:b w:val="0"/>
          <w:i w:val="0"/>
        </w:rPr>
        <w:t>Isolated enamel infractions generally do not require treatment, though multiple infraction lines may be sealed with an unfilled resin and acid-etch technique to prevent staining from tobacco, food, and drinks [5, p.286]. For enamel and enamel-dentin fractures, immediate restoration of crown anatomy and occlusion is essential to prevent labial protrusion, drifting of the fractured tooth, tilting of adjacent teeth into the fracture site, or overeruption of the opposing tooth [5, p.286]. A genuinely contested, evidence-based point worth flagging explicitly: the traditional strategy of lining exposed dentin with a hard-setting calcium hydroxide liner has been called into question by both in vitro and in vivo studies showing these liners disintegrate beneath restorations over time, and cultivable, stainable bacteria have been found within calcium hydroxide liners in both exposed and non-exposed control teeth — meaning the liner does not reliably provide a permanent bacterial barrier, so its long-term benefit is genuinely questionable [5, p.287]. What appears critical to pulpal healing instead is how effectively the dentin is sealed from bacterial irritants — deeply exposed dentin that is adequately sealed allows the non-exposed pulp to form reparative dentin even without calcium hydroxide [5, p.287]. Current treatment strategy for deep dentin fractures therefore favors glass ionomer cement applied to the deepest aspect of the fracture (hydrophilic, requires no etching, low microleakage, good pulpal biocompatibility) followed by a dentin bonding agent to complete the hermetic seal — functioning as a temporary "bandage" or as a liner prior to composite restoration [5, pp.287-288].</w:t>
      </w:r>
    </w:p>
    <w:p>
      <w:r>
        <w:rPr>
          <w:b w:val="0"/>
          <w:i w:val="0"/>
        </w:rPr>
        <w:t>Reattachment of the original crown fragment, when retrievable, offers real advantages over other restorative options: exact restoration of crown anatomy in a material that abrades at the same rate as adjacent teeth, and chair time normally less than that needed for a temporary restoration [5, p.290]. In vitro studies demonstrate the bonding strength of a reattached fragment is approximately three times greater when a dentin bonding agent supplements acid-etched enamel retention alone, though achieved bond strengths with early bonding systems were only 50-60% of intact-tooth strength; more recent dentin bonding systems have achieved fracture strengths not significantly different from intact teeth, and beveling along the fracture line has been shown to further increase fracture resistance [5, p.290]. In animal studies, the bonding system was safe for pulpal tissue as long as 0.2mm of dentin thickness remained between the pulp and the bonding surface [5, p.290]. The sole indication for fragment reattachment is an intact enamel-dentin fragment retaining the majority of its enamel margin so that it seats firmly against the fracture surface; small defects can still be restored with composite at the time of bonding [5, p.290].</w:t>
      </w:r>
    </w:p>
    <w:p>
      <w:r>
        <w:rPr>
          <w:b/>
        </w:rPr>
        <w:t xml:space="preserve">DEFINITION — Crown-root fracture: </w:t>
      </w:r>
      <w:r>
        <w:t>a fracture involving enamel, dentin, and cementum, with the fracture line typically beginning a few millimeters incisal to the facial marginal gingiva and following an oblique course below the gingival crevice orally — unlike a crown fracture or root fracture, a crown-root fracture always communicates with the oral cavity across its full length, which is why spontaneous healing cannot be expected the way it can for a root fracture entirely within the alveolus [5, pp.314, 318].</w:t>
      </w:r>
    </w:p>
    <w:p>
      <w:r>
        <w:rPr>
          <w:b w:val="0"/>
          <w:i w:val="0"/>
        </w:rPr>
        <w:t>Displacement of the coronal fragment is often minimal, explaining why these fractures — particularly in the posterior region — are frequently overlooked [5, p.315]. Radiographically, the oblique fracture line runs almost perpendicular to the central x-ray beam, so the facial limit is usually visible but the lingual/palatal limit is frequently obscured [5, p.315]. Emergency treatment can stabilize the coronal fragment with an acid-etch/resin splint to adjacent teeth, but definitive treatment should follow within a few days [5, p.318]. Vertical crown-root fractures generally require extraction, though isolated reports describe successful consolidation after bonding the coronal fragment [5, p.318]. Definitive conservative treatment offers four real alternatives, each with distinct indications and tradeoffs [5, p.319]:</w:t>
      </w:r>
    </w:p>
    <w:p>
      <w:r>
        <w:rPr>
          <w:b/>
        </w:rPr>
        <w:t xml:space="preserve">DEFINITION — Fragment removal only: </w:t>
      </w:r>
      <w:r>
        <w:t>indicated for superficial (chisel) fractures where denudation of the fracture site does not compromise esthetics; easy to perform and allows prompt definitive restoration, but long-term prognosis has not been established [5, p.319].</w:t>
      </w:r>
    </w:p>
    <w:p>
      <w:r>
        <w:rPr>
          <w:b/>
        </w:rPr>
        <w:t xml:space="preserve">DEFINITION — Fragment removal with gingivectomy (sometimes ostectomy): </w:t>
      </w:r>
      <w:r>
        <w:t>indicated for fractures with palatal extension; relatively easy, but the restored tooth may migrate labially due to granulation-tissue accumulation in the deep palatal pocket [5, p.319].</w:t>
      </w:r>
    </w:p>
    <w:p>
      <w:r>
        <w:rPr>
          <w:b/>
        </w:rPr>
        <w:t xml:space="preserve">DEFINITION — Orthodontic extrusion of the apical fragment: </w:t>
      </w:r>
      <w:r>
        <w:t>applicable to all fracture types with reasonable remaining root length, including complicated crown-root fractures; gives a stable restored-tooth position and optimal gingival health, at the cost of a technically time-consuming procedure with late completion of final treatment (cervical gingival fibers must be incised once the tooth reaches the desired position, to prevent relapse) [5, p.319].</w:t>
      </w:r>
    </w:p>
    <w:p>
      <w:r>
        <w:rPr>
          <w:b/>
        </w:rPr>
        <w:t xml:space="preserve">DEFINITION — Surgical extrusion of the apical fragment: </w:t>
      </w:r>
      <w:r>
        <w:t>applicable to all fracture types except uncomplicated crown-root fractures where pulp vitality should be preserved; a rapid procedure giving a stable tooth position and allowing inspection of the root for additional fractures, with a limited risk of root resorption and marginal periodontal breakdown [5, p.319].</w:t>
      </w:r>
    </w:p>
    <w:p>
      <w:r>
        <w:rPr>
          <w:b w:val="0"/>
          <w:i w:val="0"/>
        </w:rPr>
        <w:t>Real, quantified prognosis data for crown fractures directly corrects any assumption that fracture severity alone predicts pulp survival: enamel infraction carries a 0-3.5% pulp necrosis risk (statistically indistinguishable from non-injured control teeth), enamel fracture 0.2-1.0%, and enamel-dentin fracture without pulp exposure 1-6% — but across all fracture types, the single most important predictor of pulp necrosis is an associated concomitant luxation injury, not the crown fracture itself, and teeth with constricted (mature) apices carry significantly greater necrosis risk than teeth with open apices [5, pp.301-302]. Fracture location also matters independently: deep proximal fractures carry substantially higher necrosis risk than horizontal or superficial corner fractures, and in the one study examining treatment effect directly, untreated deep proximal fractures showed 54% pulp necrosis versus only 8% when dentin coverage was provided — real, direct evidence for the value of prompt dentin sealing regardless of the calcium-hydroxide-liner controversy above [5, p.302].</w:t>
      </w:r>
    </w:p>
    <w:p>
      <w:pPr>
        <w:pStyle w:val="Heading3"/>
      </w:pPr>
      <w:r>
        <w:t>6.1.5 Injuries to the Supporting Bone</w:t>
      </w:r>
    </w:p>
    <w:p>
      <w:r>
        <w:rPr>
          <w:b w:val="0"/>
          <w:i w:val="0"/>
        </w:rPr>
        <w:t>**Audit addition**: a second confirmed structural gap found against Andreasen's atlas — injuries to the alveolar bone and jaws accompanying dental trauma were previously entirely absent from this sub-module despite being common, clinically significant, and directly affecting the splinting/treatment decisions already covered in Sections 6.1.1-6.1.3. Offset confirmed as the same marker−16 = printed page established above — cited as `[5, p.X]`.</w:t>
      </w:r>
    </w:p>
    <w:p>
      <w:r>
        <w:rPr>
          <w:b/>
        </w:rPr>
        <w:t xml:space="preserve">DEFINITION — Classification of supporting bone injuries: </w:t>
      </w:r>
      <w:r>
        <w:t>comminution of the alveolar socket wall; fracture of the facial or lingual socket wall; fracture of the alveolar process, with or without involvement of the socket; and fracture of the mandible or maxilla (jaw fracture), with or without socket involvement [5, p.490].</w:t>
      </w:r>
    </w:p>
    <w:p>
      <w:r>
        <w:rPr>
          <w:b w:val="0"/>
          <w:i w:val="0"/>
        </w:rPr>
        <w:t>Clinically, displacement of fragments disturbs occlusion, and palpation over the alveolar process can disclose a step in the bony contour; in the absence of visible dislocation, bimanual manipulation of the jaws reveals mobility between fragments, often with crepitus, and pain on mandibular movement or palpation is a positive sign of fracture [5, p.492]. Intraoral radiographs of the socket wall seldom reveal the fracture line; a laterally exposed extraoral radiograph is usually needed to disclose its location [5, p.492]. A distinct pediatric mechanism is worth noting: the energy from an impact to the chin in infants is transmitted exclusively to the incisor region, because the lack of lateral tooth support in a young child's developing arch concentrates rather than distributes the impact force [5, p.491].</w:t>
      </w:r>
    </w:p>
    <w:p>
      <w:r>
        <w:rPr>
          <w:b w:val="0"/>
          <w:i w:val="0"/>
        </w:rPr>
        <w:t>Treatment of socket wall fractures follows reduction principles essentially identical to lateral luxation (Sub-Module 6.1.1) — disengaging the apices from the vestibular bone plate by simultaneous digital pressure incisally over the apical area and facially at the lingual aspect of the crown — and clinical experience shows adequate stability can persist even after the entire vestibular bone plate is lost, provided the socket wall itself is repositioned [5, pp.499-500]. A genuinely counterintuitive but important sequencing point applies across all these injuries: suturing of soft tissue lacerations should be performed LAST, not first, since early suturing limits surgical access needed for repositioning procedures [5, p.500]. Fixation of an alveolar process fracture is typically maintained for 4 weeks in adults, reduced to 3 weeks in children given their more rapid bony healing, using an acid-etch/resin splint or arch bars without intermaxillary fixation provided the splint itself is stable [5, p.500].</w:t>
      </w:r>
    </w:p>
    <w:p>
      <w:r>
        <w:rPr>
          <w:b w:val="0"/>
          <w:i w:val="0"/>
        </w:rPr>
        <w:t>Whether to extract teeth located directly in a jaw-fracture line remains a genuinely contested question, flagged explicitly as such by the source: historically, especially before the antibiotic era, the standard practice was to extract all teeth in the fracture line, but subsequent studies found this approach does not actually reduce complication rates, leading to a gradual shift toward more conservative management — an evidence-driven reversal of standard practice worth noting directly, rather than treating either position as settled [5, p.500]. In children, developing permanent teeth in the fracture line should be preserved wherever possible, with extraction reserved for teeth whose infected follicles are actively maintaining infection along the fracture line, and any open-reduction screws placed at a safe distance from developing tooth germs [5, p.500].</w:t>
      </w:r>
    </w:p>
    <w:p>
      <w:pPr>
        <w:pStyle w:val="Heading1"/>
      </w:pPr>
      <w:r>
        <w:rPr>
          <w:b w:val="0"/>
          <w:i w:val="0"/>
        </w:rPr>
        <w:t>References</w:t>
      </w:r>
    </w:p>
    <w:p>
      <w:r>
        <w:rPr>
          <w:b w:val="0"/>
          <w:i w:val="0"/>
        </w:rPr>
        <w:t>[1] Berman LH, Blanco L, Cohen S, eds. A Clinical Guide to Dental Traumatology. St. Louis: Elsevier/Mosby.</w:t>
      </w:r>
    </w:p>
    <w:p>
      <w:r>
        <w:rPr>
          <w:b w:val="0"/>
          <w:i w:val="0"/>
        </w:rPr>
        <w:t>[2] Cohen S, Hargreaves KM, Berman LH, eds. Cohen's Pathways of the Pulp. 12th ed. St. Louis: Elsevier; 2021. Chapter 21, "The Role of Endodontics After Dental Traumatic Injuries" (Kahler B).</w:t>
      </w:r>
    </w:p>
    <w:p>
      <w:r>
        <w:rPr>
          <w:b w:val="0"/>
          <w:i w:val="0"/>
        </w:rPr>
        <w:t>[3] Ingle JI, Bakland LK, Baumgartner JC, eds. Ingle's Endodontics. 7th ed. Raleigh: PMPH-USA; 2019. Chapter 12, "Endodontic Considerations in Dental Trauma" (Trope M).</w:t>
      </w:r>
    </w:p>
    <w:p>
      <w:r>
        <w:rPr>
          <w:b w:val="0"/>
          <w:i w:val="0"/>
        </w:rPr>
        <w:t>[4] American Association of Endodontists. Glossary of Endodontic Terms. 8th ed. Chicago: AAE; 2012.</w:t>
      </w:r>
    </w:p>
    <w:p>
      <w:r>
        <w:rPr>
          <w:b w:val="0"/>
          <w:i w:val="0"/>
        </w:rPr>
        <w:t>[5] Andreasen JO, Andreasen FM, Andersson L, eds. Textbook and Color Atlas of Traumatic Injuries to the Teeth. 4th ed. Oxford: Blackwell Munksgaard; 2007.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