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Sub-Module 6.4: External Root Resorption</w:t>
      </w:r>
    </w:p>
    <w:p>
      <w:r>
        <w:rPr>
          <w:b/>
          <w:i w:val="0"/>
        </w:rPr>
        <w:t>Module 2 — Endodontics, Sub-Module 6: Special Endodontic Situations</w:t>
      </w:r>
    </w:p>
    <w:p>
      <w:pPr>
        <w:pStyle w:val="Heading1"/>
      </w:pPr>
      <w:r>
        <w:rPr>
          <w:b w:val="0"/>
          <w:i w:val="0"/>
        </w:rPr>
        <w:t>Note on Sources</w:t>
      </w:r>
    </w:p>
    <w:p>
      <w:r>
        <w:rPr>
          <w:b w:val="0"/>
          <w:i w:val="0"/>
        </w:rPr>
        <w:t>External inflammatory and replacement (ankylosis) resorption were already built in Sub-Module 2.4 of this project, including the real age-dependent prognosis data (children: tooth lost in 1-5 years; adults: functional for 5-20 years) and the injury-size threshold (1-4mm² reversible "transient ankylosis" versus &gt;4mm² progressive, irreversible ankylosis) drawn from Cohen's Ch.18. This sub-module cross-references that material directly and adds what Ingle's Endodontics 7th ed. Ch.15 (Andreasen, Heithersay, Bakland) — a differently authored chapter with a more mechanistic, endodontic-implications-focused framing — contributes beyond it: a quantified cervical-root-fracture risk figure for long-term calcium hydroxide use, a combined calcium hydroxide/MTA management protocol for infection-related resorption in immature teeth, and a fuller, seven-option management list for an ankylosed tooth in a growing patient. A. Clinical Guide to Dental Traumatology (Berman, already used in Sub-Module 6.1) is cross-referenced for its complementary framing of surface and replacement resorption specifically in the avulsion context.</w:t>
      </w:r>
    </w:p>
    <w:p>
      <w:r>
        <w:rPr>
          <w:b w:val="0"/>
          <w:i w:val="0"/>
        </w:rPr>
        <w:t>Citation convention: Ingle's Ch.15 uses the same marker+48 = printed page offset independently verified for Sub-Module 6.3 — cited as `[1, p.X]`. Berman's uses its confirmed offset (marker = printed page) — cited as `[2, p.X]`.</w:t>
      </w:r>
    </w:p>
    <w:p>
      <w:pPr>
        <w:pStyle w:val="Heading2"/>
      </w:pPr>
      <w:r>
        <w:rPr>
          <w:b w:val="0"/>
          <w:i w:val="0"/>
        </w:rPr>
        <w:t>6.4 External Root Resorption</w:t>
      </w:r>
    </w:p>
    <w:p>
      <w:pPr>
        <w:pStyle w:val="Heading3"/>
      </w:pPr>
      <w:r>
        <w:rPr>
          <w:b w:val="0"/>
          <w:i w:val="0"/>
        </w:rPr>
        <w:t>6.4.1 Inflammatory External Resorption</w:t>
      </w:r>
    </w:p>
    <w:p>
      <w:r>
        <w:rPr>
          <w:b w:val="0"/>
          <w:i w:val="0"/>
        </w:rPr>
        <w:t>The core clinical picture of external inflammatory resorption — root shortening, association with a necrotic or bacterially-stimulated pulp, and management by eliminating the pulpal bacterial source via root canal treatment — is covered in Sub-Module 2.4.3 of this project and is not repeated here. Ingle's Ch.15 terms this entity "external infection-related resorption" and adds real mechanistic and management detail beyond what Sub-Module 2.4 already covers [1, p.426].</w:t>
      </w:r>
    </w:p>
    <w:p>
      <w:r>
        <w:rPr>
          <w:b w:val="0"/>
          <w:i w:val="0"/>
        </w:rPr>
        <w:t>This type of resorption was first described in a 1965 clinical and histological study of avulsed, replanted teeth, and represents a combined injury to both pulp and periodontal ligament: microorganisms, primarily located in the pulp space and dentinal tubules, diffuse through exposed tubules once the initial resorption has penetrated cementum, triggering continued osteoclastic activity and periodontal ligament inflammation that in turn resorbs adjacent alveolar bone [1, p.426]. It is typically diagnosed 2-4 weeks after injury, is especially common after intrusion and replantation of avulsed teeth (directly connecting to the avulsion protocol in Sub-Module 6.1.3), and is a rapidly progressing process that can result in total root loss within a few months if untreated, particularly in young children [1, p.426]. Because this is a combined periodontal and pulpal injury, immediate endodontic treatment to control or remove the osteoclast-promoting microbial toxins is required — the resorptive process will arrest once microorganisms are eliminated from the root canal and dentinal tubules, and the resorption cavity will then fill in with cementum or bone depending on which vital tissue lies adjacent [1, p.426].</w:t>
      </w:r>
    </w:p>
    <w:p>
      <w:r>
        <w:rPr>
          <w:b w:val="0"/>
          <w:i w:val="0"/>
        </w:rPr>
        <w:t>A genuinely important quantified caution applies to the choice of intracanal medicament: while calcium hydroxide effectively destroys the causative microorganisms, long-term use (beyond 30 days) weakens root structure in immature teeth, with two clinical studies reporting a cervical root fracture risk as high as 66-72% — a risk that has not been demonstrated in mature teeth, so the endodontic technique chosen should be matched to the tooth's stage of root development [1, p.427]. In mature teeth following avulsion and replantation, prophylactic pulp extirpation combined with sodium hypochlorite and calcium hydroxide biomechanical preparation is used to prevent infection-related resorption outright, with disinfection achievable in 2-3 weeks [1, p.427]. In immature teeth, where the apical opening is often too large for a conventional root filling, calcium hydroxide apexification has historically been used successfully, but at the cost of many months' treatment time and the same long-term dentin-weakening risk; mineral trioxide aggregate (MTA) placed as a physical apical barrier allows the canal to be filled immediately without waiting for a biological apexification response, minimizing immature root dentin's exposure to calcium hydroxide and its associated fracture risk [1, p.427]. The combined protocol places a short-term (2-4 week) calcium hydroxide interim dressing after pulp extirpation and sodium hypochlorite disinfection, followed by a condensed MTA apical plug at least 4mm thick, with the remaining canal either filled entirely with MTA or completed with gutta-percha and sealer coronal to the MTA plug [1, p.427].</w:t>
      </w:r>
    </w:p>
    <w:p>
      <w:pPr>
        <w:pStyle w:val="Heading3"/>
      </w:pPr>
      <w:r>
        <w:rPr>
          <w:b w:val="0"/>
          <w:i w:val="0"/>
        </w:rPr>
        <w:t>6.4.2 Replacement Resorption (Ankylosis)</w:t>
      </w:r>
    </w:p>
    <w:p>
      <w:r>
        <w:rPr>
          <w:b w:val="0"/>
          <w:i w:val="0"/>
        </w:rPr>
        <w:t>The core definition, radiographic presentation (loss of the periodontal ligament space with a normal bony pattern), and the fundamental reversible-versus-progressive distinction by injury size (1-4mm² versus &gt;4mm²) are already built in Sub-Module 2.4.3. Ingle's Ch.15 frames this as "external ankylosis-related resorption" and terms the reversible presentation "transient ankylosis": when the injury is moderate (1-4mm²) and the tooth is allowed functional mobility, by using a nonrigid splint or no splint at all, small areas of resorption can later be replaced with new cementum and periodontal ligament attachment rather than progressing to true ankylosis [1, p.427]. This gives the splinting-duration guidance in Sub-Module 6.1.1 (7-10 days, semiflexible, not rigid) a direct biological rationale beyond simple comfort: rigid, prolonged splinting itself removes the physiologic mobility that would otherwise allow a moderate injury to heal by transient rather than progressive ankylosis.</w:t>
      </w:r>
    </w:p>
    <w:p>
      <w:r>
        <w:rPr>
          <w:b w:val="0"/>
          <w:i w:val="0"/>
        </w:rPr>
        <w:t>Beyond the 1-5 year (children) versus 5-20 year (adults) survival figures already covered in Sub-Module 2.4.3, Ingle's Ch.15 adds real clinical-finding detail: an ankylosed tooth is very firm in its socket and elicits a characteristic high, metallic percussion sound, demonstrable clinically within 1 month and radiographically within 2 months of the injury [1, p.427]. Endodontic therapy cannot arrest progressive ankylosis-related resorption once established; if the pulp is vital, endodontic treatment is not indicated at all, and if pulp necrosis has developed alongside the ankylosis, the infection-related resorption protocol of Section 6.4.1 applies only to that secondary infective component, not to the ankylosis process itself [1, p.427].</w:t>
      </w:r>
    </w:p>
    <w:p>
      <w:r>
        <w:rPr>
          <w:b w:val="0"/>
          <w:i w:val="0"/>
        </w:rPr>
        <w:t>For a growing child or adolescent, an ankylosed tooth will fail to erupt and gradually develop infraposition relative to the adjacent dentition, more pronounced the younger the patient at the time of injury [1, p.427]. Ingle's Ch.15 lists seven possible management options, considerably broader than the single decoronation technique already detailed in Sub-Module 6.1.3 and 2.4.3: (1) decoronation, to maintain and augment the alveolar process; (2) luxation of the tooth, deliberately breaking minimal ankylosis sites; (3) extraction with ridge augmentation in preparation for later implant placement; (4) extraction and a prosthetic bridge; (5) distraction osteogenesis; (6) prosthetic elongation; and (7) extraction and transplantation of a premolar into the site [1, p.427]. Berman's Clinical Guide to Dental Traumatology frames decoronation specifically as a way to preserve alveolar ridge bone volume when a severely compromised, ankylosis-bound tooth is not salvageable, directly complementing this broader option list from the avulsion-management perspective already detailed in Sub-Module 6.1.3 [2, p.108].</w:t>
      </w:r>
    </w:p>
    <w:p>
      <w:r>
        <w:rPr>
          <w:b w:val="0"/>
          <w:i w:val="0"/>
        </w:rPr>
        <w:t>**Audit addition**: following a user-requested audit against Andreasen JO, Andreasen FM, Andersson L, eds. Textbook and Color Atlas of Traumatic Injuries to the Teeth, 4th ed. (Blackwell Munksgaard, 2007), Ch.24 ("Orthodontic Management of the Traumatized Dentition," Malmgren O, Malmgren B) was confirmed genuinely additive — it addresses a practical question this section did not previously cover: whether and when a replanted or ankylosed tooth can safely be moved orthodontically. Offset confirmed as the same marker−16 = printed page established for this source elsewhere in this project — cited as `[3, p.X]`.</w:t>
      </w:r>
    </w:p>
    <w:p>
      <w:r>
        <w:rPr>
          <w:b w:val="0"/>
          <w:i w:val="0"/>
        </w:rPr>
        <w:t>Whether orthodontic movement of a replanted tooth risks triggering or worsening root resorption is a real clinical question, since both clinical and experimental (monkey) studies indicate severe root resorption can be elicited by orthodontic force on a replanted tooth [3, p.696]. Because most root resorption after replantation appears during the first year after injury, the practical rule is that if no resorptive complication has appeared within that first year, orthodontic movement of the tooth is generally considered safe [3, p.696]. However, this is not an absolute guarantee: both replanted and intruded teeth can show progressive root resorption 5 or 10 years after trauma despite a reassuring appearance earlier in the healing course — teeth with this history are frequently flagged as eventual single-implant candidates once skeletal growth is complete, rather than treated as permanently cleared once the first post-injury year passes without incident [3, p.696].</w:t>
      </w:r>
    </w:p>
    <w:p>
      <w:r>
        <w:rPr>
          <w:b w:val="0"/>
          <w:i w:val="0"/>
        </w:rPr>
        <w:t>For an ankylosed tooth already undergoing replacement resorption, orthodontic movement itself cannot halt the process; management instead becomes a question of timing extraction correctly relative to growth. In a young, actively growing child, ankylosis is accompanied by progressive infraposition (since the ankylosed tooth does not follow the vertical development of the surrounding alveolus), often with adjacent-tooth tilting, and the tooth should be extracted before this infraposition becomes advanced enough to compromise later orthodontic or prosthetic treatment [3, p.697]. A composite build-up of the incisal edge can mask infraposition temporarily, but this is explicitly a stop-gap: in a growing patient the infraposition continues to increase and the esthetic result becomes unsatisfactory, whereas in an adolescent whose alveolar growth is nearly complete, only minor further infraposition is expected and the same build-up technique becomes a more durable option [3, p.697]. For cases diagnosed once growth is essentially finished, surgical block osteotomy with distraction osteogenesis has been described in case reports as a way to reposition the ankylosed tooth's bone level for later prosthetic restoration — though it must be remembered that the underlying replacement resorption process will continue regardless of this surgical repositioning [3, p.697].</w:t>
      </w:r>
    </w:p>
    <w:p>
      <w:pPr>
        <w:pStyle w:val="Heading1"/>
      </w:pPr>
      <w:r>
        <w:rPr>
          <w:b w:val="0"/>
          <w:i w:val="0"/>
        </w:rPr>
        <w:t>References</w:t>
      </w:r>
    </w:p>
    <w:p>
      <w:r>
        <w:rPr>
          <w:b w:val="0"/>
          <w:i w:val="0"/>
        </w:rPr>
        <w:t>[1] Ingle JI, Bakland LK, Baumgartner JC, eds. Ingle's Endodontics. 7th ed. Raleigh: PMPH-USA; 2019. Chapter 15, "Pathologic Tooth Resorption" (Andreasen JO, Heithersay GS, Bakland LK).</w:t>
      </w:r>
    </w:p>
    <w:p>
      <w:r>
        <w:rPr>
          <w:b w:val="0"/>
          <w:i w:val="0"/>
        </w:rPr>
        <w:t>[2] Berman LH, Blanco L, Cohen S, eds. A Clinical Guide to Dental Traumatology. St. Louis: Elsevier/Mosby.</w:t>
      </w:r>
    </w:p>
    <w:p>
      <w:r>
        <w:rPr>
          <w:b w:val="0"/>
          <w:i w:val="0"/>
        </w:rPr>
        <w:t>[3] Andreasen JO, Andreasen FM, Andersson L, eds. Textbook and Color Atlas of Traumatic Injuries to the Teeth. 4th ed. Oxford: Blackwell Munksgaard; 2007. Chapter 24, "Orthodontic Management of the Traumatized Dentition" (Malmgren O, Malmgren 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