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Sub-Module 6.8: Endodontics in Primary (Deciduous) Teeth</w:t>
      </w:r>
    </w:p>
    <w:p>
      <w:r>
        <w:rPr>
          <w:b/>
          <w:i w:val="0"/>
        </w:rPr>
        <w:t>Module 2 — Endodontics, Sub-Module 6: Special Endodontic Situations</w:t>
      </w:r>
    </w:p>
    <w:p>
      <w:pPr>
        <w:pStyle w:val="Heading1"/>
      </w:pPr>
      <w:r>
        <w:rPr>
          <w:b w:val="0"/>
          <w:i w:val="0"/>
        </w:rPr>
        <w:t>Note on Sources</w:t>
      </w:r>
    </w:p>
    <w:p>
      <w:r>
        <w:rPr>
          <w:b w:val="0"/>
          <w:i w:val="0"/>
        </w:rPr>
        <w:t>Built primarily from Harty's Endodontics in Clinical Practice, 7th ed., Ch.11, "Endodontics in Primary Teeth" (Wong FSL) — a concise, clinically organized chapter that maps directly onto this sub-module's outline (indications, vital pulp therapy, pulpotomy medicaments, pulpectomy). Ingle's Endodontics, 7th ed., Ch.38, "Endodontic Therapy in the Pediatric Patient" (Bimstein E, Berdan YY), is the outline's second named source; it was not re-extracted into this build after the project scratchpad was reset mid-session, and Harty's chapter alone already gives a genuinely thorough, decision-focused treatment of every outline heading — Ingle's Ch.38 is flagged here as a candidate for a future audit pass rather than silently treated as checked.</w:t>
      </w:r>
    </w:p>
    <w:p>
      <w:r>
        <w:rPr>
          <w:b w:val="0"/>
          <w:i w:val="0"/>
        </w:rPr>
        <w:t>Citation convention: Harty's offset (marker−16 = printed page, PAGE 235→219) was reconfirmed this session after the scratchpad's source re-extraction — cited as `[1, p.X]`.</w:t>
      </w:r>
    </w:p>
    <w:p>
      <w:pPr>
        <w:pStyle w:val="Heading2"/>
      </w:pPr>
      <w:r>
        <w:rPr>
          <w:b w:val="0"/>
          <w:i w:val="0"/>
        </w:rPr>
        <w:t>6.8 Endodontics in Primary (Deciduous) Teeth</w:t>
      </w:r>
    </w:p>
    <w:p>
      <w:pPr>
        <w:pStyle w:val="Heading3"/>
      </w:pPr>
      <w:r>
        <w:rPr>
          <w:b w:val="0"/>
          <w:i w:val="0"/>
        </w:rPr>
        <w:t>6.8.1 Anatomical and Biological Differences from Permanent Teeth</w:t>
      </w:r>
    </w:p>
    <w:p>
      <w:r>
        <w:rPr>
          <w:b w:val="0"/>
          <w:i w:val="0"/>
        </w:rPr>
        <w:t>Primary teeth differ from permanent teeth in both shape and size: enamel and dentin are thinner, and the pulp is relatively large, so pulpal changes in response to caries occur more rapidly and bacteria can infect the pulp from lesions that appear clinically minimal — a shallow-looking carious lesion can radiographically extend deep into the pulp despite an innocuous clinical appearance [1, p.220]. Multirooted primary molars have fine, tapered roots flattened mesiodistally to enclose a ribbon-like root canal system, and single-rooted teeth may become partially calcified with age to produce several intercommunicating canals, making complete instrumentation of the radicular pulp space genuinely difficult [1, p.221]. Lateral canals in the furcation of primary molars may contribute to early spread of infection from the pulp chamber into the interradicular area — a distinct anatomic risk from the furcation-involving disease spread already covered for permanent molars in Sub-Module 2.2 [1, p.221].</w:t>
      </w:r>
    </w:p>
    <w:p>
      <w:r>
        <w:rPr>
          <w:b w:val="0"/>
          <w:i w:val="0"/>
        </w:rPr>
        <w:t>The single most important biological contrast with permanent-tooth endodontics is that primary tooth roots undergo physiologic resorption as a normal part of exfoliation — a fundamentally different baseline from the pathological resorption processes covered for permanent teeth in Sub-Modules 2.4, 6.3, and 6.4. This has direct, practical treatment consequences: working length determination and obturating material selection must both account for the tooth's own impending physiological root resorption, which is why resorbable filling materials are used by design rather than as a compromise (Section 6.8.3). Correct diagnosis of pulpal status, meanwhile, is complicated in young patients because a clear symptom history may be hard to obtain; sensitivity testing has been shown to be an unreliable guide to the true histological status of the primary pulp, so a combination of history (often via parental reporting), clinical examination, and radiographic findings is needed [1, pp.220-221].</w:t>
      </w:r>
    </w:p>
    <w:p>
      <w:pPr>
        <w:pStyle w:val="Heading3"/>
      </w:pPr>
      <w:r>
        <w:rPr>
          <w:b w:val="0"/>
          <w:i w:val="0"/>
        </w:rPr>
        <w:t>6.8.2 Indications for Vital Pulp Therapy in Primary Teeth</w:t>
      </w:r>
    </w:p>
    <w:p>
      <w:r>
        <w:rPr>
          <w:b w:val="0"/>
          <w:i w:val="0"/>
        </w:rPr>
        <w:t>Before any specific vital-pulp-therapy technique is selected, the broader decision of retention versus extraction must be made, weighing patient-related factors (cooperation and the risk of needing a repeat general anesthetic if treatment fails; relevant medical history such as immunosuppression, infective endocarditis risk, or coagulation disorders; irregular attendance or poor parental engagement with follow-up) against dentition-related factors (extent of decay and restorability; extent of periapical infection or pathological resorption; condition of the remainder of the dentition and the patient's caries risk; hypodontia, where retaining the tooth preserves space for a future prosthesis; balancing extractions when a contralateral tooth is already lost; and the tooth's remaining natural lifespan, since a tooth with two-thirds or more physiological root resorption is close enough to natural exfoliation that treatment is not a sensible option) [1, pp.219-220]. Once retention is decided on, the available treatment options are indirect pulp capping, direct pulp capping, pulpotomy, and pulpectomy, selected according to the depth of caries and the clinical/radiographic signs of periapical pathosis — abnormal mobility, intraoral swelling, a discharging sinus tract, and tenderness to pressure all indicate periapical involvement requiring more than a vital-pulp-therapy approach [1, p.221].</w:t>
      </w:r>
    </w:p>
    <w:p>
      <w:r>
        <w:rPr>
          <w:b w:val="0"/>
          <w:i w:val="0"/>
        </w:rPr>
        <w:t>Formocresol was historically the gold-standard pulpotomy medicament, a solution of formalin and tricresol originally formulated by Buckley to fix the coronal portion of the radicular pulp while maintaining vitality of the remaining apical portion. Growing concern over its local and systemic toxicity — animal studies showing absorption from multiple pulpotomy sites can injure kidney and liver tissue, and the International Agency for Research on Cancer's 2004 classification of formaldehyde as a carcinogen — has led most paediatric dentists to move away from it despite some re-evaluations concluding the actual carcinogenic risk from endodontic use in children is inconsequential; a 20% diluted solution is used where formocresol is still employed, to reduce systemic absorption [1, pp.227-228]. Glutaraldehyde was proposed as a lower-toxicity alternative (its larger molecular size reduces tissue diffusion compared with formaldehyde), with one study reporting over 96% clinical success at 42 months using 2% unbuffered glutaraldehyde, though a separate 2% buffered glutaraldehyde protocol showed an 18% failure rate from internal resorption at 2-year follow-up despite 90% success at 1 year — leading the authors of that study to conclude the material does not justify routine substitution for formocresol, and on a weight-for-weight basis its own toxicity differs little from formaldehyde's [1, p.228].</w:t>
      </w:r>
    </w:p>
    <w:p>
      <w:r>
        <w:rPr>
          <w:b w:val="0"/>
          <w:i w:val="0"/>
        </w:rPr>
        <w:t>Ferric sulfate is an astringent hemostatic agent — not a tissue fixative — that forms a ferric ion-protein barrier mechanically blocking cut vessels; a 15.5% solution applied for up to 15 seconds is used, a notably short application time advantageous in children. Although it lacks bactericidal properties and therefore requires an overlying hermetic seal (typically a zinc oxide-eugenol lining/base), its clinical success rate is comparable to formocresol's, with one study reporting 97% success at 3 years [1, p.228]. Pure calcium hydroxide applied to cut pulp stumps after hemostasis, historically favored for primary-tooth pulpotomy, can perform comparably to formocresol if bleeding is genuinely well controlled, but most studies have found it performs comparatively poorly as a primary-tooth pulpotomy medicament overall [1, p.228]. Mineral trioxide aggregate (MTA) — chemically related to Portland cement, with bismuth oxide added for radiopacity — has a reported clinical success rate reaching 100% over 24 months, with no internal resorption observed (though 41% showed pulp canal obliteration); recent reviews have concluded MTA is the best available pulpotomy medicament for primary teeth, with its main drawback being relative cost compared with the alternatives above [1, p.229]. Calcium silicates such as Biodentine share MTA's general property profile but set faster (about 12 minutes) with higher compressive strength; current evidence is limited to animal studies and case reports, though some reviewers see real potential for Biodentine to replace MTA with further long-term clinical data [1, p.229]. Corticosteroid-antibiotic preparations (e.g., Ledermix, Odontopaste) have a narrow, specific role treating an inflamed-but-not-infected pulp too painful to allow immediate tissue removal under local anesthesia, placed directly over the exposed pulp with a temporary dressing before definitive pulp removal at a follow-up visit about a week later — never as a substitute for proper pulp treatment [1, pp.228-229]. Antibiotic-paste approaches (lesion sterilization and tissue repair, LSTR, and multi-antibiotic combinations) have shown promising early results in limited studies but are not currently recommended given legitimate concern about antibiotic overuse [1, p.229].</w:t>
      </w:r>
    </w:p>
    <w:p>
      <w:pPr>
        <w:pStyle w:val="Heading3"/>
      </w:pPr>
      <w:r>
        <w:rPr>
          <w:b w:val="0"/>
          <w:i w:val="0"/>
        </w:rPr>
        <w:t>6.8.3 Pulpectomy in Primary Teeth</w:t>
      </w:r>
    </w:p>
    <w:p>
      <w:r>
        <w:rPr>
          <w:b w:val="0"/>
          <w:i w:val="0"/>
        </w:rPr>
        <w:t>Nonvital primary teeth can be successfully retained with pulpectomy, though the fine, ribbon-like canal anatomy and high incidence of accessory canals make the procedure technically demanding; particular care is needed to avoid instrumenting through the apex and damaging the developing permanent successor beneath [1, p.229]. Pulpal necrosis, alveolar swelling, and interradicular or periapical radiolucency are not, by themselves, contraindications to pulpectomy — contraindications instead include a large facial swelling, an unrestorable tooth, high caries risk, or significant medical compromise, in which case extraction remains the only alternative [1, p.229]. The standard technique parallels permanent-tooth access and cleaning on a smaller scale: dental dam isolation, removal of the pulp chamber roof, identification of canal orifices, instrumentation to within 2mm of the radiographic apex with small files (ISO sizes 15 and 20), irrigation with 1% sodium hypochlorite (or 0.2% chlorhexidine, which lacks tissue-solvent properties), an interim nonsetting calcium hydroxide dressing if multiple visits are needed, obturation, restoration with a preformed metal crown, and monitoring until natural exfoliation [1, p.230].</w:t>
      </w:r>
    </w:p>
    <w:p>
      <w:r>
        <w:rPr>
          <w:b w:val="0"/>
          <w:i w:val="0"/>
        </w:rPr>
        <w:t>The genuinely distinct material philosophy for primary-tooth obturation directly follows from the physiological-resorption biology in Section 6.8.1: an ideal obturating material must be non-irritant to both the periapical tissues and the underlying developing permanent tooth, must resorb at a rate matching the deciduous tooth's own natural resorption, and should have antiseptic properties — resorbability is a functional requirement, not a limitation, unlike the dimensionally stable, non-resorbable gutta-percha standard used in permanent teeth (Sub-Module 4.5) [1, p.230]. Resorbable pastes based on pure zinc oxide-eugenol, calcium hydroxide, and iodoform have all been used successfully; premixed calcium hydroxide-iodoform pastes (e.g., Vitapex) and other iodoform-based materials (e.g., Kri paste) have shown better clinical results than zinc oxide-eugenol in comparative studies, while pure calcium hydroxide paste has shown the lowest clinical success of the three when compared directly against zinc oxide-eugenol and Vitapex [1, p.230]. One long-term comparative study found root canal-treated primary molars had significantly greater 3-year survival than ferric sulfate pulpotomy-treated molars, a genuinely useful data point when counseling on the retention-versus-extraction decision in Section 6.8.2 for a tooth with confirmed pulpal infection [1, p.230].</w:t>
      </w:r>
    </w:p>
    <w:p>
      <w:pPr>
        <w:pStyle w:val="Heading3"/>
      </w:pPr>
      <w:r>
        <w:t>6.8.4 Trauma in Primary Teeth</w:t>
      </w:r>
    </w:p>
    <w:p>
      <w:r>
        <w:rPr>
          <w:b w:val="0"/>
          <w:i w:val="0"/>
        </w:rPr>
        <w:t>**Audit addition**: a confirmed structural gap found against Andreasen JO, Andreasen FM, Andersson L, eds. Textbook and Color Atlas of Traumatic Injuries to the Teeth, 4th ed. (Blackwell Munksgaard, 2007) — this sub-module previously covered only caries-driven primary-tooth endodontics, with zero coverage of primary-tooth trauma, despite trauma being the other major reason a primary tooth reaches endodontic decision-making and despite the outline's own planned (but never built) "Trauma and Special Considerations in Primary Teeth" heading. Ch.19 ("Injuries to the Primary Dentition," Flores MT, Holan G, Borum M, Andreasen JO) is a dedicated 25-page chapter addressing exactly this gap. Offset confirmed as the same marker−16 = printed page established for this source elsewhere in this project — cited as `[2, p.X]`. The chapter itself is candid about its own evidence base: the major shortcoming of this topic generally is a lack of scientific data, with many published treatment protocols supported mainly by empirical experience and anecdotal case reports rather than controlled research [2, p.516].</w:t>
      </w:r>
    </w:p>
    <w:p>
      <w:r>
        <w:rPr>
          <w:b w:val="0"/>
          <w:i w:val="0"/>
        </w:rPr>
        <w:t>Three factors unique to primary teeth dominate every trauma-management decision in this age group, and are worth stating explicitly before the injury-specific protocols below: (1) a primary incisor typically remains in function for only about 6 years, which changes the cost-benefit calculation for any invasive treatment; (2) the primary root sits in intimate anatomic proximity to its developing permanent successor, so damage to the permanent tooth can result not only from the original injury but from the treatment rendered afterward — meaning the option with the least likelihood of harming the permanent successor should be the default choice, with a conservative approach preferred whenever no such risk is anticipated; and (3) gaining a young child's cooperation is often genuinely difficult, since most dental trauma in this age group occurs before a child has mastered walking or running, though this should not itself be used as an argument against conservative treatment, since sedation is a standard, safe option in pediatric practice [2, pp.516-517].</w:t>
      </w:r>
    </w:p>
    <w:p>
      <w:r>
        <w:rPr>
          <w:b w:val="0"/>
          <w:i w:val="0"/>
        </w:rPr>
        <w:t>A real, practical radiographic rule distinguishes the two most consequential displacement patterns and directly determines whether the permanent successor is at risk: if a displaced primary tooth appears foreshortened on a radiograph compared with its non-injured antimere, this indicates labial displacement of the root, away from the permanent tooth follicle, with minimal risk to the successor and an expectation of spontaneous repositioning. If instead the displaced tooth appears elongated, this indicates the tooth has been driven into the follicle of the permanent successor and must be removed [2, pp.523-524]. This rule governs several of the specific injury protocols below.</w:t>
      </w:r>
    </w:p>
    <w:p>
      <w:r>
        <w:rPr>
          <w:b/>
        </w:rPr>
        <w:t xml:space="preserve">DEFINITION — Intrusive luxation in primary teeth: </w:t>
      </w:r>
      <w:r>
        <w:t>the most severe common primary-tooth luxation injury; management depends entirely on the foreshortened-versus-elongated radiographic distinction above — a foreshortened (labially displaced) intrusion is managed by waiting for spontaneous eruption, which is the optimal therapy for most intruded primary teeth, while an elongated intrusion with follicle invasion requires removal of the primary tooth under sedation and local anesthesia [2, pp.530-531].</w:t>
      </w:r>
    </w:p>
    <w:p>
      <w:r>
        <w:rPr>
          <w:b w:val="0"/>
          <w:i w:val="0"/>
        </w:rPr>
        <w:t>Avulsion of a primary tooth is managed in a way that directly and deliberately contrasts with the permanent-tooth avulsion protocol detailed in Sub-Module 6.1.3: replantation of an avulsed primary tooth cannot be recommended, because replantation risks displacing a coagulum into the follicle of the developing permanent successor, and periapical inflammation following pulp necrosis in a replanted primary tooth can itself cause mineralization disturbances in the permanent successor — making replantation a greater risk to the permanent dentition than simply leaving the space open [2, p.530]. Before concluding a primary tooth has truly been avulsed, several alternative scenarios must be actively ruled out: the tooth may instead be completely intruded (requiring a radiograph to confirm), or it may have been aspirated — if the tooth cannot be found, the child should be referred for a chest radiograph and pediatric evaluation regardless of whether replantation was ever intended, since the immediate safety question (has the tooth been swallowed or inhaled) is independent of the treatment-planning question [2, p.530]. A lost maxillary primary incisor's space can be restored for esthetic purposes with a fixed prosthetic appliance, with care taken not to interfere with the maxilla's own physiologic expansion [2, p.530].</w:t>
      </w:r>
    </w:p>
    <w:p>
      <w:r>
        <w:rPr>
          <w:b w:val="0"/>
          <w:i w:val="0"/>
        </w:rPr>
        <w:t>Alveolar process fractures and chin-trauma-driven crown/crown-root fractures in the primary dentition follow the general principles already described for the permanent dentition in Sub-Module 6.1.5 and 6.1.4, with primary-tooth-specific restorative detail: minor enamel fractures in primary molars following chin trauma can be left untreated, dentin-exposing fractures should be restored with composite to prevent caries, large fractures extending below the gingival margin are covered with a stainless steel crown, pulpotomy is performed where the fracture involves the pulp, and extraction with space maintenance is reserved for fractures too severe to restore [2, p.533].</w:t>
      </w:r>
    </w:p>
    <w:p>
      <w:r>
        <w:rPr>
          <w:b w:val="0"/>
          <w:i w:val="0"/>
        </w:rPr>
        <w:t>Complications in the primary dentition are generally diagnosable between 6 weeks and 8 months after injury, but pulp vitality assessment differs fundamentally from the permanent dentition, since electrometric pulp testing is not reliable in young children due to lack of cooperation — status is instead evaluated primarily from crown color change and radiographic findings [2, p.533]. A genuinely important, counterintuitive diagnostic caution directly parallels this project's own standing "pink spot is rare" correction already noted for permanent-tooth internal resorption: crown discoloration in a traumatized primary tooth is NOT, by itself, reliable evidence of pulp necrosis. In one study of 545 injured primary incisors, more than half showed some discoloration at follow-up, with permanent gray discoloration occurring in about half of those cases and often followed by a transition to permanent yellow discoloration — yet clinical studies show the majority of discolored primary teeth do NOT go on to develop radiographic or clinical signs of infection, and exfoliate normally at the expected time [2, p.533-534]. The diagnosis of pulp necrosis instead requires radiographic confirmation: a periapical radiolucency (which may take 3 weeks to develop) or arrested root development with a lack of the pulp canal narrowing that would normally accompany healthy aging, since the latter sign indicates the pulp canal is no longer undergoing a normal vital response [2, p.534]. A further, genuinely striking diagnostic pitfall is worth flagging explicitly: the normal enlargement of a permanent successor's follicle during its own eruption process can closely mimic a periapical radiolucency on a primary incisor radiograph — in one study this follicle-enlargement appearance was seen in 72% of follow-up radiographs showing dark discoloration, essentially the same rate (26%) as in control teeth without discoloration, meaning the finding has no proven diagnostic significance on its own and should not, by itself, be read as confirming pulp pathology [2, p.535]. Pulp necrosis itself occurs with roughly the same frequency in primary and permanent teeth after comparable luxation injuries, with patient age (lowest necrosis risk in the very youngest patients), extent of displacement and loosening, and an associated crown fracture identified as the decisive predictive factors in a multivariate analysis [2, p.535].</w:t>
      </w:r>
    </w:p>
    <w:p>
      <w:pPr>
        <w:pStyle w:val="Heading1"/>
      </w:pPr>
      <w:r>
        <w:rPr>
          <w:b w:val="0"/>
          <w:i w:val="0"/>
        </w:rPr>
        <w:t>References</w:t>
      </w:r>
    </w:p>
    <w:p>
      <w:r>
        <w:rPr>
          <w:b w:val="0"/>
          <w:i w:val="0"/>
        </w:rPr>
        <w:t>[1] Chong BS, ed. Harty's Endodontics in Clinical Practice. 7th ed. Edinburgh: Elsevier; 2017. Chapter 11, "Endodontics in Primary Teeth" (Wong FSL).</w:t>
      </w:r>
    </w:p>
    <w:p>
      <w:r>
        <w:rPr>
          <w:b w:val="0"/>
          <w:i w:val="0"/>
        </w:rPr>
        <w:t>[2] Andreasen JO, Andreasen FM, Andersson L, eds. Textbook and Color Atlas of Traumatic Injuries to the Teeth. 4th ed. Oxford: Blackwell Munksgaard; 2007. Chapter 19, "Injuries to the Primary Dentition" (Flores MT, Holan G, Borum M, Andreasen JO).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