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6.9: Endodontic-Orthodontic Relationships</w:t>
      </w:r>
    </w:p>
    <w:p>
      <w:r>
        <w:rPr>
          <w:b/>
          <w:i w:val="0"/>
        </w:rPr>
        <w:t>Module 2 — Endodontics, Sub-Module 6: Special Endodontic Situations</w:t>
      </w:r>
    </w:p>
    <w:p>
      <w:pPr>
        <w:pStyle w:val="Heading1"/>
      </w:pPr>
      <w:r>
        <w:t>Note on Sources</w:t>
      </w:r>
    </w:p>
    <w:p>
      <w:r>
        <w:rPr>
          <w:b w:val="0"/>
          <w:i w:val="0"/>
        </w:rPr>
        <w:t>Built entirely from Weine FS, Potashnick SR. Endodontic Therapy, 6th ed., Ch.12, "Endodontic-Orthodontic Relationships" — the outline's own named source, using the complete, properly-OCR'd re-extraction of this textbook obtained earlier in this project (see this project's standing records: the original extraction was from a poor-OCR file and had to be redone). This chapter alone gives real, concrete technique detail for forced eruption (wire gauge, bracket placement, force sequencing, stabilization duration) well beyond what the outline itself anticipated, and is used as the sole primary source for this short, focused section. The outline's further cross-referenced sources (Cohen's Ch.25's own "Forced Eruption or Extrusion" section, and Grossman's Ch.19 "Orthodontic Extrusion of the Apical Fragment") are partially already cross-referenced via Sub-Module 6.6.4's citation of Cohen's Ch.25; a dedicated independent read of Grossman's Ch.19 specifically has not yet been done and remains a candidate for a future audit pass.</w:t>
      </w:r>
    </w:p>
    <w:p>
      <w:r>
        <w:rPr>
          <w:b w:val="0"/>
          <w:i w:val="0"/>
        </w:rPr>
        <w:t>Citation convention: Weine's 6th ed. extraction carries a real printed page number directly visible in the text only at isolated points (e.g., "482" confirmed near the chapter opening), with no recoverable, consistent marker-to-printed-page offset across the rest of the chapter — checked directly this session and confirmed absent at every later citation point, consistent with this project's standing note that Weine's own reference style elsewhere in the outline cites chapter titles only, without page numbers, for exactly this reason. Rather than risk an uncertain extrapolated page number, every citation below uses the standing PDF-page fallback convention, `[1, PDF p.X]`, where X is the raw extraction page marker — the safe default this project's own sourcing discipline calls for whenever a reliable printed-page offset cannot be confirmed.</w:t>
      </w:r>
    </w:p>
    <w:p>
      <w:pPr>
        <w:pStyle w:val="Heading2"/>
      </w:pPr>
      <w:r>
        <w:t>6.9 Endodontic-Orthodontic Relationships</w:t>
      </w:r>
    </w:p>
    <w:p>
      <w:pPr>
        <w:pStyle w:val="Heading3"/>
      </w:pPr>
      <w:r>
        <w:t>6.9.1 Effect of Orthodontic Movement on the Pulp</w:t>
      </w:r>
    </w:p>
    <w:p>
      <w:r>
        <w:rPr>
          <w:b w:val="0"/>
          <w:i w:val="0"/>
        </w:rPr>
        <w:t>Orthodontic tooth movement's most common side effect is blunting of the moved tooth's root apex, from apical and sometimes lateral root resorption occurring precisely in the area where the apical blood vessels and nerve supply emerge — a genuine anatomic vulnerability, since this is exactly the region whose integrity determines pulp survival [1, PDF p.482]. Orthodontists have argued against a causal link, citing research describing teeth rotated 720 or even 1080 degrees without demonstrable pulp damage; nonetheless, real clinical cases exist in which orthodontic therapy was the only identifiable etiologic agent for loss of pulp vitality, so the relationship, while not universal, is genuine in at least some cases [1, PDF p.482].</w:t>
      </w:r>
    </w:p>
    <w:p>
      <w:r>
        <w:rPr>
          <w:b w:val="0"/>
          <w:i w:val="0"/>
        </w:rPr>
        <w:t>The most frequently encountered clinical scenario is a maxillary canine crowded out of position by the adjacent lateral incisor and first premolar, requiring orthodontic therapy to achieve eruption into alignment. Because these teeth rarely have caries or restorations and symptoms are typically absent, the first sign that endodontic treatment is needed is usually an incidental finding on a routine periapical radiograph — most often a periapical radiolucency, though a second, more subtle finding is a considerable diminution of canal width resembling the heavy reparative-dentin deposition seen after vital pulp therapy [1, PDF p.483]. When the pulp space diminishes this dramatically, locating and treating the canal can become genuinely difficult. Resorptive defects of both internal and external type have also been documented following orthodontic treatment, though whether orthodontic force was truly causative or coincidental remains questionable in any individual case; the underlying principle is the same one covered in Sub-Modules 6.3 and 6.4 — pulpal injury, from whatever source, can produce either reparative dentin deposition or a resorptive response [1, PDF p.484-485]. A calcium-hydroxide-based preventive protocol has been successfully used in at least one reported case to halt an existing area of lateral root resorption before planned orthodontic movement of the affected tooth, gaining some calcification before treatment proceeded to a satisfactory outcome in both alignment and esthetics [1, PDF p.485].</w:t>
      </w:r>
    </w:p>
    <w:p>
      <w:r>
        <w:rPr>
          <w:b w:val="0"/>
          <w:i w:val="0"/>
        </w:rPr>
        <w:t>A full set of radiographs is recommended following completion of orthodontic treatment, to be scrutinized carefully by both the orthodontist and the general dentist for incipient periapical lesions and unusual pulp canal shape changes. All moved teeth, particularly those pulled into occlusion from a crowded or unerupted position, should be monitored at least annually by radiograph and clinical examination to verify normal pulpal status; if the canal space begins to diminish or enlarge, endodontic therapy should not be delayed [1, PDF p.485]. A genuinely useful, practically actionable observation for the treating endodontist: teeth that require endodontic therapy after previous orthodontic movement have a high rate of overfilled obturation, directly attributable to apical blunting from resorption reducing the natural apical constriction that would otherwise stop the master cone — working length should therefore be shortened appropriately for these teeth, and a customized master-cone technique is recommended specifically to verify whether an apical dentin matrix is actually present before obturation [1, PDF p.486].</w:t>
      </w:r>
    </w:p>
    <w:p>
      <w:r>
        <w:rPr>
          <w:b w:val="0"/>
          <w:i w:val="0"/>
        </w:rPr>
        <w:t>Treating a tooth during simultaneous, ongoing orthodontic movement is a genuinely more complicated clinical scenario: the conduction potential of orthodontic bands and archwires makes electric pulp testing unusable, and because these teeth are typically noncarious, unrestored, and large-pulped, a test cavity cannot be drilled with confidence that a necrotic pulp is actually present before committing to access [1, PDF p.487].</w:t>
      </w:r>
    </w:p>
    <w:p>
      <w:pPr>
        <w:pStyle w:val="Heading3"/>
      </w:pPr>
      <w:r>
        <w:t>6.9.2 Forced Eruption (Orthodontic Extrusion) as Combined Therapy</w:t>
      </w:r>
    </w:p>
    <w:p>
      <w:r>
        <w:rPr>
          <w:b w:val="0"/>
          <w:i w:val="0"/>
        </w:rPr>
        <w:t>With the advent of direct-bond orthodontic brackets, forced eruption can be performed efficiently and economically by the general practitioner, without necessarily referring to an orthodontist for an entire fixed-appliance course of treatment [1, PDF p.1423]. Two distinct clinical protocols apply depending on whether the tooth retains a clinical crown.</w:t>
      </w:r>
    </w:p>
    <w:p>
      <w:r>
        <w:rPr>
          <w:b w:val="0"/>
          <w:i w:val="0"/>
        </w:rPr>
        <w:t>For a tooth lacking a clinical crown, endodontic therapy is completed first, with adequate post-room width and length provided and gingival inflammation controlled by curettage before any tooth movement begins. A 0.030- to 0.036-inch stainless steel wire, fit snugly to the post preparation (notched for additional retention if needed, or custom-built with cold-cure acrylic resin around a prefit post for maximum adaptation), is cemented into the canal with a semitemporary cement specifically so the bond can later be broken by rotating the wire, rather than requiring a more destructive removal step [1, PDF p.1424]. Direct-bond orthodontic brackets are then placed on a sufficient number of adjacent teeth for anchorage, as close to the incisal edge as possible without interfering with opposing occlusion, with bracket channels aligned in the same horizontal plane so a straight wire can be laid passively through all of them; a rigid 0.016-inch wire is ligated into the brackets and an elastic ligature tied from this wire to the cemented post activates tooth movement, which should proceed slowly over 4-6 weeks [1, PDF pp.1424-1425].</w:t>
      </w:r>
    </w:p>
    <w:p>
      <w:r>
        <w:rPr>
          <w:b w:val="0"/>
          <w:i w:val="0"/>
        </w:rPr>
        <w:t>For a tooth with an intact clinical crown, a direct-bond bracket or orthodontic band is placed as far apically as is permissible, and the tooth is initially pulled to a segmental arch; as it approaches the horizontal plane of the adjacent brackets, a multistrand flexible 0.015-inch wire deflected 2-3mm exerts suitable extrusive force, with narrow-gauge wire and vertical loops used across the interbracket span to moderate force when greater extrusion is required over a longer period [1, PDF p.1426].</w:t>
      </w:r>
    </w:p>
    <w:p>
      <w:r>
        <w:rPr>
          <w:b w:val="0"/>
          <w:i w:val="0"/>
        </w:rPr>
        <w:t>The real biomechanical rationale underlying both protocols is a genuinely counterintuitive lag effect: unless very light force is used, a lag period occurs between movement of the tooth itself and movement of its attachment apparatus and surrounding gingiva, since the periodontal ligament and gingival unit follow the tooth rather than moving with it in lockstep — the faster the tooth is forcibly extruded, the greater this lag becomes [1, PDF pp.1420-1421]. This can be used deliberately to the clinician's advantage: rapid eruption with heavier force exposes additional sound tooth structure (useful for restorative margin placement) while minimizing how much the osseous and gingival margins move with the tooth, whereas slow, intermittent, light force is preferred when the goal is instead to bring the gingival margin into alignment with adjacent teeth for an esthetic result, since under light force the hard and soft tissues move with the tooth almost in proportion [1, PDF p.1421]. A practical sequencing strategy combining both effects is slow, progressive traction until the tooth shows elevated mobility, followed by rapid, continuous force to reach the final desired position [1, PDF p.1421].</w:t>
      </w:r>
    </w:p>
    <w:p>
      <w:r>
        <w:rPr>
          <w:b w:val="0"/>
          <w:i w:val="0"/>
        </w:rPr>
        <w:t>Stabilization is essential once the target position is reached, to prevent stretched periodontal ligament fibers from pulling the root back into the alveolus; a simple, fast technique is to brush autopolymerizing resin over the sectional archwire and brackets to lock everything rigidly in place, or alternatively to place a passive archwire into the brackets [1, PDF p.1422]. A minimum of 6 weeks of stabilization is generally necessary, with radiographic evidence of bone fill in the socket around the tooth's apex serving as the reliable clinical endpoint confirming that relapse will not occur [1, PDF pp.1422, 1426].</w:t>
      </w:r>
    </w:p>
    <w:p>
      <w:r>
        <w:rPr>
          <w:b w:val="0"/>
          <w:i w:val="0"/>
        </w:rPr>
        <w:t>This same 6-week minimum stabilization period, and the same underlying biologic principle — that definitive periodontal and restorative therapy should not proceed until bony and ligament reattachment is radiographically confirmed — directly parallels the splinting-duration and reattachment-timing principles already established for traumatized teeth in Sub-Module 6.1.1, even though forced eruption and traumatic luxation are opposite clinical scenarios (deliberate extrusion versus accidental displacement): in both, the periodontal ligament needs time to re-establish genuine attachment before the tooth can be loaded definitively.</w:t>
      </w:r>
    </w:p>
    <w:p>
      <w:pPr>
        <w:pStyle w:val="Heading3"/>
      </w:pPr>
      <w:r>
        <w:t>6.9.3 Orthodontic Movement of a Replanted or Intruded Tooth</w:t>
      </w:r>
    </w:p>
    <w:p>
      <w:r>
        <w:rPr>
          <w:b w:val="0"/>
          <w:i w:val="0"/>
        </w:rPr>
        <w:t>**Audit addition**: following a user-requested audit against Andreasen JO, Andreasen FM, Andersson L, eds. Textbook and Color Atlas of Traumatic Injuries to the Teeth, 4th ed. (Blackwell Munksgaard, 2007), Ch.24 ("Orthodontic Management of the Traumatized Dentition," Malmgren O, Malmgren B) was confirmed genuinely additive — it directly addresses a question this section had not yet covered: when, if ever, is it safe to move a tooth that has already been replanted or intruded, as opposed to the forced-eruption scenario in 6.9.2, where the tooth being moved has not itself suffered a luxation injury. Offset confirmed as marker−16 = printed page, the same whole-book offset already established for this source elsewhere in this project (distinct from Weine's chapter above, which has no recoverable consistent offset) — cited as `[2, p.X]`.</w:t>
      </w:r>
    </w:p>
    <w:p>
      <w:r>
        <w:rPr>
          <w:b w:val="0"/>
          <w:i w:val="0"/>
        </w:rPr>
        <w:t>Both clinical and experimental (monkey) studies indicate that orthodontic force applied to a replanted tooth can elicit severe root resorption, since the periodontal healing in these teeth is already compromised by the original avulsion injury [2, p.696]. Because most root resorption after replantation becomes apparent within the first year after injury (cross-reference Sub-Module 6.1.3's avulsion-management protocol and 6.4.1's inflammatory-resorption timeline), the practical rule is that if no resorptive complication has appeared within that first year, orthodontic movement of the tooth is generally considered safe to proceed with [2, p.696]. This is not an unconditional guarantee, however: both replanted and intruded teeth can show progressive root resorption as late as 5 or 10 years after the original trauma, despite an entirely reassuring appearance during the first post-injury year — such teeth are frequently identified as eventual single-implant candidates once skeletal growth is complete, rather than treated as permanently cleared simply because the first year passed without incident [2, p.696].</w:t>
      </w:r>
    </w:p>
    <w:p>
      <w:r>
        <w:rPr>
          <w:b w:val="0"/>
          <w:i w:val="0"/>
        </w:rPr>
        <w:t>For a tooth already undergoing ankylosis-driven replacement resorption (Sub-Module 6.4.2), orthodontic movement cannot halt the underlying process, and management instead becomes a question of correctly timing extraction relative to the patient's growth. In an actively growing child, ankylosis produces progressive infraposition, since the ankylosed tooth does not follow the vertical development of the surrounding alveolus, and the tooth should be extracted before this becomes advanced enough to compromise later orthodontic or prosthetic treatment; a composite build-up of the incisal edge can mask the infraposition only temporarily during active growth, whereas the same build-up becomes a reasonably durable option once an adolescent's alveolar growth is nearly complete, since only minor further infraposition is then expected [2, p.697]. For cases identified once growth is essentially finished, a surgical block osteotomy combined with distraction osteogenesis has been described in case reports as a way to reposition the ankylosed tooth's bone level for later prosthetic restoration — though the underlying replacement resorption process continues regardless of this surgical intervention [2, p.697].</w:t>
      </w:r>
    </w:p>
    <w:p>
      <w:pPr>
        <w:pStyle w:val="Heading1"/>
      </w:pPr>
      <w:r>
        <w:t>References</w:t>
      </w:r>
    </w:p>
    <w:p>
      <w:r>
        <w:rPr>
          <w:b w:val="0"/>
          <w:i w:val="0"/>
        </w:rPr>
        <w:t>[1] Weine FS, Potashnick SR. Endodontic Therapy. 6th ed. St. Louis: Mosby; 2004. Chapter 12, "Endodontic-Orthodontic Relationships."</w:t>
      </w:r>
    </w:p>
    <w:p>
      <w:r>
        <w:rPr>
          <w:b w:val="0"/>
          <w:i w:val="0"/>
        </w:rPr>
        <w:t>[2] Andreasen JO, Andreasen FM, Andersson L, eds. Textbook and Color Atlas of Traumatic Injuries to the Teeth. 4th ed. Oxford: Blackwell Munksgaard; 2007. Chapter 24, "Orthodontic Management of the Traumatized Dentition" (Malmgren O, Malmgren 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