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Sub-Module 7.3: Regenerative Endodontics</w:t>
      </w:r>
    </w:p>
    <w:p>
      <w:r>
        <w:rPr>
          <w:b/>
          <w:i w:val="0"/>
        </w:rPr>
        <w:t>Module 2 — Endodontics, Sub-Module 7: Vital Pulp Therapy &amp; Regenerative Endodontics</w:t>
      </w:r>
    </w:p>
    <w:p>
      <w:pPr>
        <w:pStyle w:val="Heading1"/>
      </w:pPr>
      <w:r>
        <w:t>Note on Sources</w:t>
      </w:r>
    </w:p>
    <w:p>
      <w:r>
        <w:rPr>
          <w:b w:val="0"/>
          <w:i w:val="0"/>
        </w:rPr>
        <w:t>Built entirely from Cohen's Pathways of the Pulp, 12th ed., Ch.12, "Regenerative Endodontics" (Diogenes A, Simon S, Law AS). **Audit update**: following a user-requested audit against Ingle's Endodontics 7th ed. Ch.28-29 (Shabahang S; Diogenes AR, Smith AJ), Weine FS's Endodontic Therapy 6th ed., Walton RE &amp; Torabinejad M's Principles and Practice of Endodontics 3rd ed. (2002), Duncan HF &amp; El-Karim IA, eds., Vital Pulp Treatment (Wiley, 2024), and Jain P, ed., Current Therapy in Endodontics (Wiley, 2016), the Vital Pulp Treatment monograph's Ch.9/Ch.10 and Ingle's Ch.28/29 proved genuinely additive and are incorporated extensively below. Weine's and Walton &amp; Torabinejad were checked and confirmed NOT additive for this specific topic — both predate regenerative endodontic procedures entirely (2004 and 2002 respectively) and cover only classic calcium-hydroxide/MTA apexification, already cross-referenced rather than duplicated in Section 7.3.1 — stated explicitly rather than silently omitted. Current Therapy in Endodontics' Ch.11 (Kim SG, "Dental Pulp Regeneration") contributed one genuinely additive, specific pharmacologic finding (Section 7.3.3b) but otherwise substantially restates history and biology already covered via Cohen's chapter.</w:t>
      </w:r>
    </w:p>
    <w:p>
      <w:r>
        <w:rPr>
          <w:b w:val="0"/>
          <w:i w:val="0"/>
        </w:rPr>
        <w:t>Citation convention: Cohen's uses the standing PDF-page fallback `[1, PDF p.X]`. The AAE Glossary uses its confirmed offset (marker = printed page) — `[2, p.X]`. Ingle's Ch.28 offset confirmed as marker+106 = printed page; Ch.29 confirmed as marker+111 = printed page — both cited as `[3, p.X]`. Duncan &amp; El-Karim's Vital Pulp Treatment offset confirmed as marker−21 = printed page (verified at the Ch.9/Ch.10 title pages) — `[4, p.X]`; the same ten pages noted in Sub-Module 7.1-7.2 failed extraction and were skipped. Current Therapy in Endodontics has no recoverable printed folio in the sampled region — `[5, PDF p.X]`.</w:t>
      </w:r>
    </w:p>
    <w:p>
      <w:pPr>
        <w:pStyle w:val="Heading2"/>
      </w:pPr>
      <w:r>
        <w:rPr>
          <w:b w:val="0"/>
          <w:i w:val="0"/>
        </w:rPr>
        <w:t>7.3 Regenerative Endodontics</w:t>
      </w:r>
    </w:p>
    <w:p>
      <w:pPr>
        <w:pStyle w:val="Heading3"/>
      </w:pPr>
      <w:r>
        <w:rPr>
          <w:b w:val="0"/>
          <w:i w:val="0"/>
        </w:rPr>
        <w:t>7.3.1 Overview and Historical Foundations</w:t>
      </w:r>
    </w:p>
    <w:p>
      <w:r>
        <w:rPr>
          <w:b/>
          <w:i w:val="0"/>
        </w:rPr>
        <w:t xml:space="preserve">DEFINITION — Regenerative endodontics / regenerative endodontic procedures (REPs): </w:t>
      </w:r>
      <w:r>
        <w:rPr>
          <w:b w:val="0"/>
          <w:i w:val="0"/>
        </w:rPr>
        <w:t>biologically-based procedures designed to physiologically replace damaged tooth structures, including dentin and root structures, as well as cells of the pulp-dentin complex [AAE Glossary, 2, p.44].</w:t>
      </w:r>
    </w:p>
    <w:p>
      <w:r>
        <w:rPr>
          <w:b w:val="0"/>
          <w:i w:val="0"/>
        </w:rPr>
        <w:t>Tissue engineering — the interdisciplinary application of engineering and life-science principles to restore, maintain, or replace biologic function through the interplay of stem cells, growth factors, and scaffolds — represents a genuine paradigm shift from most of dentistry's history, which has been characterized instead by replacing lost or diseased tissue with inert prosthetic materials [1, PDF p.1569]. The developing dentition is at particular risk for pulpal necrosis from trauma, caries, and developmental anomalies such as dens evaginatus; because full radicular maturation continues for up to 3 years after a tooth erupts into the oral cavity, loss of pulp vitality during this window arrests further root development entirely, rendering the tooth susceptible to premature loss and producing real downstream consequences — altered maxillary/mandibular bone development, interference with phonetics, breathing, and mastication, and a genuine, documented psychosocial impact on young patients [1, PDF pp.1571-1572].</w:t>
      </w:r>
    </w:p>
    <w:p>
      <w:r>
        <w:rPr>
          <w:b w:val="0"/>
          <w:i w:val="0"/>
        </w:rPr>
        <w:t>Traditional apexification — using either long-term calcium hydroxide treatment or immediate placement of an MTA apical plug — often resolves the signs and symptoms of periapical pathosis but provides little to no benefit for continued root development itself (cross-reference the MTA apexification technique already detailed in Sub-Module 6.4.1's trauma-audit content). Root maturation is mediated by epithelial-mesenchymal interaction between Hertwig's epithelial root sheath (HERS) and the apical papilla, with the pulp-dentin complex forming at the expense of the apical papilla as stem cells migrate and differentiate into odontoblasts and fibroblasts; disruption of this process by trauma or infection leaves the tooth in a state of "arrested development," with no further root growth, normal nociception, or immune defense expected — this is precisely the limitation REPs are designed to overcome [1, PDF p.1572].</w:t>
      </w:r>
    </w:p>
    <w:p>
      <w:r>
        <w:rPr>
          <w:b w:val="0"/>
          <w:i w:val="0"/>
        </w:rPr>
        <w:t>Regenerative endodontics traces its foundation to Nygaard-Østby's seminal work more than 50 years ago, hypothesizing that an intracanal blood clot could initiate pulpal healing analogous to the blood clot's role in alveolar bone healing after extraction. In his original study, 17 mature teeth with vital or necrotic pulps underwent débridement, foraminal enlargement, intracanal bleeding induction, and obturation coronal to the resulting clot, followed for 17 days to 3.5 years before extraction and histologic examination [1, PDF pp.1573-1574]. The outcomes were genuinely instructive: symptoms resolved as early as 17 days, signs of pathosis resolved in necrotic cases, and some teeth showed radiographic apical closure, with histology revealing connective-tissue ingrowth and mineralized-tissue "islands" along the canal walls — but the presence of undesired cell types (cementoblasts) and absence of desired ones (odontoblasts) showed this protocol did not achieve complete histologic pulp regeneration, a genuine shortcoming this pioneering study itself could not resolve [1, PDF p.1574]. Subsequent studies in 1966 and 1971 introduced interappointment antibiotic disinfection (polyantibiotic mixes, later combined with intentional intracanal bleeding), both showing resolution of disease signs and continued root development, establishing the disinfection-then-bleeding sequence that underlies the modern protocol below [1, PDF pp.1574-1575].</w:t>
      </w:r>
    </w:p>
    <w:p>
      <w:pPr>
        <w:pStyle w:val="Heading3"/>
      </w:pPr>
      <w:r>
        <w:rPr>
          <w:b w:val="0"/>
          <w:i w:val="0"/>
        </w:rPr>
        <w:t>7.3.2 Case Selection and Clinical Considerations</w:t>
      </w:r>
    </w:p>
    <w:p>
      <w:r>
        <w:rPr>
          <w:b w:val="0"/>
          <w:i w:val="0"/>
        </w:rPr>
        <w:t>Current best evidence restricts REPs to the incompletely developed permanent tooth with an open apex that tests negative to pulpal responsiveness — current protocols have not been developed or evaluated for fully mature, closed-apex teeth, even though tissue-engineering-based pulpal regeneration in mature teeth remains the field's ultimate aspiration [1, PDF p.1623]. Informed consent must cover the number of appointments required (at least two), the possible adverse effects (chiefly crown staining), the potential lack of response to treatment, and the alternative treatments available (MTA apexification, no treatment, or extraction) [1, PDF pp.1623-1624]. A genuinely important case-selection constraint follows directly from the mechanism: because the canal space will not remain accessible after successful revascularization, teeth that will require canal-space retention for their eventual restoration are poor REP candidates [1, PDF p.1623].</w:t>
      </w:r>
    </w:p>
    <w:p>
      <w:r>
        <w:rPr>
          <w:b w:val="0"/>
          <w:i w:val="0"/>
        </w:rPr>
        <w:t>Crown and root discoloration is a real, quantified adverse effect worth detailing directly. Minocycline, a component of the triple antibiotic paste (TAP), is the principal cause of staining above the cementoenamel junction; this can be minimized by restricting the drug's delivery below the CEJ, or avoided altogether by using a double antibiotic paste (ciprofloxacin and metronidazole, without minocycline) or calcium hydroxide instead [1, PDF p.1623]. MTA itself can also cause discoloration (reducible but not fully eliminated by a walking-bleach technique), whereas newer tricalcium silicate materials such as Biodentine and EndoSequence BC Root Repair Material-Putty show substantially less discoloration potential while promoting comparable or greater stem-cell-from-the-apical-papilla (SCAP) proliferation and odontoblastic differentiation than MTA — making them preferable specifically for the coronal placement these procedures require, even though MTA remains the best-suited material when bone formation and repair (rather than non-staining coronal placement) is the primary desired outcome, as in apical surgery [1, PDF pp.1623-1624].</w:t>
      </w:r>
    </w:p>
    <w:p>
      <w:pPr>
        <w:pStyle w:val="Heading4"/>
      </w:pPr>
      <w:r>
        <w:t>7.3.2b Refined Case Selection: Staging, Contraindications, and Epidemiology</w:t>
      </w:r>
    </w:p>
    <w:p>
      <w:r>
        <w:rPr>
          <w:b w:val="0"/>
          <w:i w:val="0"/>
        </w:rPr>
        <w:t>**Audit addition**: Duncan &amp; El-Karim's Ch.9 operationalizes "immature root" into a graded decision tool rather than a simple open/closed-apex binary, using Cvek's 5-stage root-development classification: stages 1-3, where root walls remain thin and fragile, are where revascularization offers the most benefit over conventional treatment, while from stage 4 onward the root already has sufficient inherent stability that either revitalization or a conventional calcium-silicate-cement apical-barrier technique is an acceptable choice [4, p.188].</w:t>
      </w:r>
    </w:p>
    <w:p>
      <w:r>
        <w:rPr>
          <w:b w:val="0"/>
          <w:i w:val="0"/>
        </w:rPr>
        <w:t>Real, concrete exclusion criteria extend beyond the pulp-test-negative/open-apex requirement already stated: revitalization should not be attempted if dental dam isolation cannot be achieved, or if extensive coronal tooth loss will require a post for final restoration (directly incompatible with the canal-space-retention limitation already noted above) [4, p.189]. A genuinely important, specific contraindication applies to avulsed immature teeth: revitalization is specifically discouraged here, since spontaneous pulp revascularization already occurs in roughly one-third of avulsed immature teeth without any intervention at all (cross-reference Sub-Module 6.1.3's avulsion-management protocol), making empirical REP intervention less clearly beneficial in this specific population. Patients with ASA physical status class 3 or greater should receive conventional treatment rather than REPs [4, p.189].</w:t>
      </w:r>
    </w:p>
    <w:p>
      <w:r>
        <w:rPr>
          <w:b w:val="0"/>
          <w:i w:val="0"/>
        </w:rPr>
        <w:t>The three-mechanism model of REP-associated discoloration is more complete than the minocycline-only mechanism already described: antibiotic-paste staining (minocycline specifically), direct staining from intracanal blood itself, and staining from the coronal MTA plug all contribute independently. A single unified prevention technique addresses all three simultaneously: etching and bonding the pulp-chamber dentin with a dental adhesive before placing the medicament, blood, or coronal restorative material creates a barrier against all three staining mechanisms at once, rather than requiring a separate fix for each [3, p.945].</w:t>
      </w:r>
    </w:p>
    <w:p>
      <w:r>
        <w:rPr>
          <w:b w:val="0"/>
          <w:i w:val="0"/>
        </w:rPr>
        <w:t>Real epidemiologic data on REP case selection in the published literature: approximately 49% of published REP cases have a traumatic etiology, 33% involve dens evaginatus, and 3% involve dens invaginatus [3, p.943]. A genuine, unresolved controversy concerns the minimum apical diameter needed for REP success — the traditionally cited threshold of greater than 1mm is directly challenged by at least one study/case report demonstrating vascularized tissue formation at an apical diameter of only approximately 0.3mm, suggesting the field's working threshold may be overly conservative [3, p.944].</w:t>
      </w:r>
    </w:p>
    <w:p>
      <w:r>
        <w:rPr>
          <w:b w:val="0"/>
          <w:i w:val="0"/>
        </w:rPr>
        <w:t>Finally, revitalization in MATURE, closed-apex teeth is a real, emerging but still experimental extension of the technique, distinct from this section's standard immature-tooth indication — the biological rationale against expecting success here is that mesenchymal stem cell supply declines and Hertwig's epithelial root sheath degrades with age, making continued root development unlikely even if a technically open apex is present [4, p.193]. A further genuinely practical caution applies specifically to teeth that have undergone revitalization after trauma-related necrosis and subsequently require orthodontic movement: revitalized teeth appear more prone to inflammation and resorption under orthodontic force, so bony healing should be radiographically confirmed before orthodontic forces are applied — directly extending the orthodontic-movement-timing caution already established for traumatized and replanted teeth generally in Sub-Module 6.9.3 to this specific REP context [4, p.193].</w:t>
      </w:r>
    </w:p>
    <w:p>
      <w:pPr>
        <w:pStyle w:val="Heading3"/>
      </w:pPr>
      <w:r>
        <w:rPr>
          <w:b w:val="0"/>
          <w:i w:val="0"/>
        </w:rPr>
        <w:t>7.3.3 Clinical Protocol: An Example Revascularization Procedure</w:t>
      </w:r>
    </w:p>
    <w:p>
      <w:r>
        <w:rPr>
          <w:b w:val="0"/>
          <w:i w:val="0"/>
        </w:rPr>
        <w:t>At the first appointment, following informed consent, the tooth is anesthetized, isolated, and accessed with minimal instrumentation — gentle circumferential "brushing" of the canal walls with Hedstrom files rather than aggressive dentin removal, since the thin walls of an immature root cannot tolerate conventional shaping [1, PDF p.1624]. Working length is confirmed radiographically, and the canal is then copiously and slowly irrigated. A genuinely important, counterintuitive finding governs irrigant selection: although sodium hypochlorite has proven efficacy as a disinfectant and tissue-dissolution agent and has been the irrigant of choice in most published REP case reports, it also has a real, demonstrated indirect cytotoxic effect on stem cells via its effect on dentin — this is minimized, with only minor deleterious effect observed, when a LOWER concentration (1.5%) sodium hypochlorite is used, followed by 17% EDTA, which should be considered the standard REP irrigation sequence rather than the higher concentrations used in conventional root canal treatment [1, PDF pp.1624-1625].</w:t>
      </w:r>
    </w:p>
    <w:p>
      <w:r>
        <w:rPr>
          <w:b w:val="0"/>
          <w:i w:val="0"/>
        </w:rPr>
        <w:t>Chlorhexidine should be limited or avoided in REPs specifically, since it lacks tissue-dissolution capacity and is independently cytotoxic to stem cells; if it must be used, an inactivation step with L-alpha-lecithin followed by 17% EDTA can largely neutralize this cytotoxicity [1, PDF p.1624]. Irrigation technique itself requires modification for the open apex: a closed-end, side-port-vented needle (e.g., Max-I-Probe) with a slow infusion rate, placed in the apical third, reduces the risk of irrigant extrusion through the wide-open foramen, and ultrasonic activation — particularly on the final visit — both improves tissue dissolution and accelerates the release of growth factors from the dentinal walls [1, PDF p.1625].</w:t>
      </w:r>
    </w:p>
    <w:p>
      <w:r>
        <w:rPr>
          <w:b w:val="0"/>
          <w:i w:val="0"/>
        </w:rPr>
        <w:t>After drying, an antimicrobial medicament (triple or double antibiotic paste at 1-10mg/mL, or calcium hydroxide) is placed for 3-4 weeks; TAP is a very effective combination against endodontic microorganisms with extensive published-case support, but it is not FDA-approved and carries the minocycline-staining risk described above, so calcium hydroxide or a minocycline-free antibiotic combination is preferred in esthetically visible teeth [1, PDF p.1626].</w:t>
      </w:r>
    </w:p>
    <w:p>
      <w:pPr>
        <w:pStyle w:val="Heading4"/>
      </w:pPr>
      <w:r>
        <w:t>7.3.3b Antibiotic Concentration and Stem-Cell Cytotoxicity</w:t>
      </w:r>
    </w:p>
    <w:p>
      <w:r>
        <w:rPr>
          <w:b w:val="0"/>
          <w:i w:val="0"/>
        </w:rPr>
        <w:t>**Audit addition**: a real, quantitative pharmacologic rationale sharpens the antibiotic-choice guidance already given above. In vitro cytotoxicity data (Ruparel et al.) found that TAP, DAP, modified TAP, and Augmentin all become detrimental to stem-cell-from-the-apical-papilla (SCAP) survival above a concentration of 1mg/mL — yet the antibiotic pastes used clinically in most published REP case reports run at approximately 1000mg/mL, a thousand-fold higher than the concentration shown to be safe for the very stem cells the procedure depends on [5, PDF p.298]. Calcium hydroxide, by contrast, showed no cytotoxicity at any concentration tested [5, PDF p.298]. The resulting recommendation is to use a liquid-form antibiotic preparation at 0.01-0.1mg/mL rather than the traditional paste consistency at full concentration [5, PDF p.299]. Ingle's Ch.29 gives concrete concentration ceilings consistent with this same stem-cell-protective logic: a combined antibiotic concentration of 1mg/mL or less at the first visit, and 100 micrograms/mL or less of each individual drug when triple antibiotic paste is used at the second visit [3, p.948].</w:t>
      </w:r>
    </w:p>
    <w:p>
      <w:r>
        <w:rPr>
          <w:b w:val="0"/>
          <w:i w:val="0"/>
        </w:rPr>
        <w:t>At the second appointment, the tooth is evaluated for resolution of any acute infection signs before proceeding; the antimicrobial medicament is repeated if resolution has not occurred, though most published cases resolve after a single round [1, PDF p.1626]. A genuinely important anesthesia detail follows directly from the procedure's own mechanism: because intracanal bleeding must be deliberately evoked at this visit, a vasoconstrictor-containing local anesthetic should NOT be used — 3% mepivacaine (plain) is used instead, specifically to avoid suppressing the bleeding response the procedure depends on [1, PDF p.1626]. The antimicrobial medicament is removed by irrigation (again 1.5% sodium hypochlorite followed by 17% EDTA, per the same stem-cell-protective rationale as the first visit), a file is passed a few millimeters beyond the apical foramen to lacerate the periapical tissue and induce bleeding coronal to the CEJ, and a small piece of Collaplug is placed over the resulting clot as an internal matrix [1, PDF pp.1626-1627]. Approximately 2-3mm of a bioactive hydraulic cement — Biodentine or EndoSequence BC putty, rather than MTA, given the coronal discoloration risk described in Section 7.3.2 — is placed coronal to the matrix, with the tooth then restored in layers (glass ionomer, then bonded composite) [1, PDF p.1627]. Follow-up recall at 12-18 months is the recommended interval for radiographically assessing apical healing and continued root development [1, PDF p.1629].</w:t>
      </w:r>
    </w:p>
    <w:p>
      <w:pPr>
        <w:pStyle w:val="Heading3"/>
      </w:pPr>
      <w:r>
        <w:rPr>
          <w:b w:val="0"/>
          <w:i w:val="0"/>
        </w:rPr>
        <w:t>7.3.4 Scientist-Based Outcomes: Regeneration or Repair?</w:t>
      </w:r>
    </w:p>
    <w:p>
      <w:r>
        <w:rPr>
          <w:b w:val="0"/>
          <w:i w:val="0"/>
        </w:rPr>
        <w:t>A genuinely significant, explicitly unresolved scientific debate concerns what REPs actually produce biologically. Histologic evaluation of teeth previously treated with REPs but later extracted for unrelated reasons (recurring trauma, fracture) consistently shows that the newly formed intracanal tissue does NOT resemble lost dental pulp — it instead typically includes ectopic bone, cementum, and periodontal ligament, alongside some genuine pulp-complex components such as fibroblasts, blood vessels, and nerves [1, PDF p.1636]. A notable comparative histologic study examined two REP cases with different clinical outcomes: a clinical FAILURE (extracted for recurrent caries and resorption despite continued root development radiographically) showed inflammatory infiltrate, no odontoblast-like cells, and predominantly cementum/bone as the newly mineralized tissue; a clinical SUCCESS (6 years of function, extracted only for orthodontic reasons) showed the same ectopic tissues PLUS genuine odontoblast-like cells, newly formed tubular dentin, and innervation characterized by peptidergic nociceptors expressing calcitonin gene-related peptide [1, PDF pp.1636-1637]. This was the first study to use laser confocal microscopy to characterize REP tissue at this level of cellular detail, and its genuinely surprising finding — that at least partial regeneration of true pulp-dentin complex components is achievable in some cases — has led to a proposed reframing of the field's own scientific status: rather than claim full "regeneration," some investigators now propose the term guided endodontic repair (GER), acknowledging that current REPs produce an intentional, directed repair process rather than complete regeneration of the original tissue, a genuinely more accurate description worth presenting to the reader as the field's current honest self-assessment rather than overstating REPs as achieving true pulp regeneration [1, PDF p.1637].</w:t>
      </w:r>
    </w:p>
    <w:p>
      <w:pPr>
        <w:pStyle w:val="Heading4"/>
      </w:pPr>
      <w:r>
        <w:t>7.3.4b A Formal Outcome-Reporting Framework</w:t>
      </w:r>
    </w:p>
    <w:p>
      <w:r>
        <w:rPr>
          <w:b w:val="0"/>
          <w:i w:val="0"/>
        </w:rPr>
        <w:t>**Audit addition**: a 2022 scoping review (Cushley et al.) proposed a formal core outcome set (COS) for standardized REP outcome reporting, cited in Duncan &amp; El-Karim's Ch.9-10: clinical signs/symptoms, periodontal probing depth and mobility, tooth discoloration, sensibility test response, periapical healing, and root thickening/lengthening, organized into primary, secondary, and tertiary success tiers (symptom resolution first, then radiographic healing and root growth, then eventual return of sensibility response) [4, p.203]. Patient-reported outcome measures — the OHIP-14 quality-of-life instrument and VAS/NRS pain scales — are increasingly incorporated alongside these clinician-centered measures [4, p.204]. A genuinely important methodological caution: most published REP follow-up extends less than 3 years, which is far shorter than the 10-plus-year follow-up standard in the dental implant literature this sub-module's own case-selection counseling (Section 7.3.2) sometimes compares REPs against — meaning long-term REP survival data is still genuinely incomplete [4, p.205].</w:t>
      </w:r>
    </w:p>
    <w:p>
      <w:r>
        <w:rPr>
          <w:b w:val="0"/>
          <w:i w:val="0"/>
        </w:rPr>
        <w:t>The regeneration-versus-repair debate already introduced above has itself evolved with more recent evidence, worth presenting as a genuinely developing picture rather than a single settled verdict. Earlier, widely cited comparative data (Jeeruphan et al., 2012) found REPs outperformed both MTA and calcium hydroxide apexification on nearly every measure: 100% disease resolution for REP versus 95% for MTA apexification and 77% for calcium hydroxide apexification; 100%/95%/77% survival at 18 months respectively; and a 14.9% increase in root length for REP versus 6.1% for MTA and 0.4% for calcium hydroxide, with root-width increases of 28.2%/0%/1.52% respectively [3, p.950]. A separate randomized trial found REP produced a 12% increase in root thickness and a 50% decrease in apical diameter over 18 months, versus no change at all with conventional apexification [3, p.951]. However, several more recent systematic reviews and meta-analyses (2016-2023, including Torabinejad 2017, Lin 2017, Nicoloso 2019, Pereira 2021, and Meschi 2023) found NO significant difference between apexification and revitalization in periapical healing or overall tooth survival — a more tempered, current verdict than the earlier, more dramatically favorable 2012 data [4, p.192]. Both figures are presented here together deliberately: REP's early reputation for clearly superior outcomes has been genuinely moderated by more recent, larger evidence, not overturned entirely, and persistent bacterial biofilm has been shown in animal models to reduce or eliminate intracanal hard-tissue deposition even when no periapical lesion is visible radiographically, offering one possible explanation for this mixed and evolving picture [4, p.192].</w:t>
      </w:r>
    </w:p>
    <w:p>
      <w:r>
        <w:rPr>
          <w:b w:val="0"/>
          <w:i w:val="0"/>
        </w:rPr>
        <w:t>A real mechanistic explanation for the partial return of pulp sensibility seen in some successful REP cases comes from Ingle's Ch.29: SCAP-released neurotrophins (acting via a BDNF-dependent pathway) appear to guide axonal "targeting" into the newly formed REP tissue, and the resulting cold-test positivity is explained by TRPA1 and TRPM8 channel expression directly on trigeminal free nerve endings, rather than by the hydrodynamic (dentinal-fluid-movement) mechanism that explains cold sensitivity in a normal tooth — since REP-formed tissue lacks the original innervated coronal dentin structure that mechanism depends on [3, p.952]. Looking forward, a genuinely distinct future-directions concept worth noting briefly is "cell homing": rather than today's reliance on a bulk blood clot to deliver stem cells into an avascular canal space (risking cell death from hypoxia before vascularization catches up), injectable scaffolds with time-delayed release of chemotactic and angiogenic factors could instead progressively recruit stem cells in step with vascular ingrowth — a speculative, non-clinical research direction rather than a current treatment option, but one that directly addresses REPs' own acknowledged biologic limitation [3, p.955].</w:t>
      </w:r>
    </w:p>
    <w:p>
      <w:pPr>
        <w:pStyle w:val="Heading1"/>
      </w:pPr>
      <w:r>
        <w:t>References</w:t>
      </w:r>
    </w:p>
    <w:p>
      <w:r>
        <w:rPr>
          <w:b w:val="0"/>
          <w:i w:val="0"/>
        </w:rPr>
        <w:t>[1] Hargreaves KM, Berman LH, eds. Cohen's Pathways of the Pulp. 12th ed. St. Louis: Elsevier; 2021. Chapter 12, "Regenerative Endodontics" (Diogenes A, Simon S, Law AS).</w:t>
      </w:r>
    </w:p>
    <w:p>
      <w:r>
        <w:rPr>
          <w:b w:val="0"/>
          <w:i w:val="0"/>
        </w:rPr>
        <w:t>[2] American Association of Endodontists. Glossary of Endodontic Terms. 8th ed. Chicago: AAE; 2012.</w:t>
      </w:r>
    </w:p>
    <w:p>
      <w:r>
        <w:rPr>
          <w:b w:val="0"/>
          <w:i w:val="0"/>
        </w:rPr>
        <w:t>[3] Ingle JI, Bakland LK, Baumgartner JC, eds. Ingle's Endodontics. 7th ed. Raleigh: PMPH-USA; 2019. Chapter 28, "Management of Teeth with Immature Apices" (Shabahang S); Chapter 29, "Regenerative Endodontics" (Diogenes AR, Smith AJ).</w:t>
      </w:r>
    </w:p>
    <w:p>
      <w:r>
        <w:rPr>
          <w:b w:val="0"/>
          <w:i w:val="0"/>
        </w:rPr>
        <w:t>[4] Duncan HF, El-Karim IA, eds. Vital Pulp Treatment. Hoboken, NJ: Wiley-Blackwell; 2024.</w:t>
      </w:r>
    </w:p>
    <w:p>
      <w:r>
        <w:rPr>
          <w:b w:val="0"/>
          <w:i w:val="0"/>
        </w:rPr>
        <w:t>[5] Jain P, ed. Current Therapy in Endodontics. Ames, IA: Wiley-Blackwell; 2016. Chapter 11, "Dental Pulp Regeneration" (Kim SG).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