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8.1: Outcome Assessment, Classification Systems &amp; Success Rates</w:t>
      </w:r>
    </w:p>
    <w:p>
      <w:r>
        <w:rPr>
          <w:b/>
          <w:i w:val="0"/>
        </w:rPr>
        <w:t>Module 2 — Endodontics, Sub-Module 8: Endodontic Outcomes &amp; Management</w:t>
      </w:r>
    </w:p>
    <w:p>
      <w:pPr>
        <w:pStyle w:val="Heading1"/>
      </w:pPr>
      <w:r>
        <w:t>Note on Sources</w:t>
      </w:r>
    </w:p>
    <w:p>
      <w:r>
        <w:rPr>
          <w:b w:val="0"/>
          <w:i w:val="0"/>
        </w:rPr>
        <w:t>Built from Cohen's Pathways of the Pulp, 12th ed., Ch.17, "Evaluation of outcomes" (Ng YL, Gulabivala K) — an exceptionally data-dense, meta-analytic chapter that is by far the single richest source for this section — and Ingle's Endodontics, 7th ed., Ch.34, "Achieving Long-Term Success with Endodontic Therapy" (Goldberg F), which independently corroborates several of Cohen's success-rate figures using a different pooling method. Ingle's Ch.33, "Outcomes of Endodontic Therapy," was checked and found to be authored by the same Gulabivala/Ng team as Cohen's Ch.17 and substantially restates the same meta-analytic dataset; it was not separately cited here to avoid duplicating a single research group's figures under two different source numbers.</w:t>
      </w:r>
    </w:p>
    <w:p>
      <w:r>
        <w:rPr>
          <w:b w:val="0"/>
          <w:i w:val="0"/>
        </w:rPr>
        <w:t>This file deliberately does NOT rebuild the Strindberg / Bender / periapical index (PAI) / CBCT-PAI / AAE Healed-Nonhealed-Healing-Functional classification systems already built in Sub-Module 3.4.5 and used again in Sub-Module 5.7 — see those files for the full classification criteria. This file focuses instead on what neither prior file covers: the quantified success/survival-rate data across primary treatment, retreatment, and surgery, and the structural logic of how endodontic outcomes are measured and interpreted.</w:t>
      </w:r>
    </w:p>
    <w:p>
      <w:r>
        <w:rPr>
          <w:b w:val="0"/>
          <w:i w:val="0"/>
        </w:rPr>
        <w:t>Citation convention: Cohen's 12th ed. extraction has no recoverable printed page number and is cited via the standing PDF-page fallback convention `[1, PDF p.X]`. Ingle's 7th ed. Ch.34 offset was independently verified this session as marker+141 = printed page (PAGE 926→1067, PAGE 928→1069, confirmed at two points) and is cited as `[2, p.X]`.</w:t>
      </w:r>
    </w:p>
    <w:p>
      <w:pPr>
        <w:pStyle w:val="Heading2"/>
      </w:pPr>
      <w:r>
        <w:t>8.1 Outcome Assessment, Classification Systems &amp; Success Rates</w:t>
      </w:r>
    </w:p>
    <w:p>
      <w:pPr>
        <w:pStyle w:val="Heading3"/>
      </w:pPr>
      <w:r>
        <w:t>8.1.1 Why Outcomes Must Be Measured Indirectly</w:t>
      </w:r>
    </w:p>
    <w:p>
      <w:r>
        <w:rPr>
          <w:b w:val="0"/>
          <w:i w:val="0"/>
        </w:rPr>
        <w:t>Endodontic treatment is directed at pulpal and periradicular tissues that are never directly visible to the clinician, hidden behind hard tooth structure, alveolar bone, and mucosa — so clinicians must rely on surrogate outcome measures rather than direct observation of healing [1, PDF p.2142]. An outcome measure is any consistently anticipated, measurable consequence of treatment; the ultimate clinical measure, however, is the prevention or resolution of disease, assessed across four distinct dimensions: (1) physical/physiologic (pulpal/periapical health, pain, function), (2) longevity/tooth survival, (3) economic (direct and indirect costs), and (4) psychological (oral-health-related quality of life and aesthetics) [1, PDF p.2143]. A treatment can succeed on one dimension and fail on another — for example, a tooth may be retained in asymptomatic function (surviving) despite a persistent radiolucency that never fully resolves (not "healed" by radiographic criteria) — which is precisely why Friedman's healed/healing/diseased/functional-retention terminology (Sub-Module 3.4.5) exists alongside the older binary success/failure framework.</w:t>
      </w:r>
    </w:p>
    <w:p>
      <w:r>
        <w:rPr>
          <w:b w:val="0"/>
          <w:i w:val="0"/>
        </w:rPr>
        <w:t>The purpose of evaluating outcomes is threefold: to demonstrate that a procedure is effective enough to justify recommending it to patients; to identify which factors most strongly influence outcome so that protocols can be refined; and to support prognostication for an individual case. Prognostication in endodontics is genuinely more complex than estimating the effect of a standardized drug dose, because root canal treatment and surgery are multistep procedures in which each step's execution depends on operator interpretation, and steps interact with one another rather than acting independently [1, PDF p.2144–2145].</w:t>
      </w:r>
    </w:p>
    <w:p>
      <w:pPr>
        <w:pStyle w:val="Heading3"/>
      </w:pPr>
      <w:r>
        <w:t>8.1.2 Outcome Measures by Procedure Type</w:t>
      </w:r>
    </w:p>
    <w:p>
      <w:r>
        <w:rPr>
          <w:b w:val="0"/>
          <w:i w:val="0"/>
        </w:rPr>
        <w:t>Different endodontic procedures require different surrogate measures. For nonsurgical root canal treatment and retreatment, the definitive outcome measure is periapical healing, judged by absence of clinical signs and symptoms (pain, tenderness to percussion/palpation, swelling, sinus tract) together with radiographic resolution or non-progression of any periapical lesion [1, PDF p.2150–2151]. Most periapical lesions heal within 1 year, but healing may continue for up to 4 years or longer before a case can be confidently classified [1, PDF p.2151]. For periapical surgery, the same clinical criteria apply, but the radiographic criteria differ (a four-category classification of complete healing / incomplete healing-scar tissue / uncertain healing / unsatisfactory healing, distinct from the nonsurgical criteria), and marginal gingival recession is an additional outcome dimension unique to the surgical flap itself [1, PDF p.2159–2162]. If a surgical case still shows "uncertain healing" four years postoperatively, it should be reclassified as a failure [1, PDF p.2162].</w:t>
      </w:r>
    </w:p>
    <w:p>
      <w:r>
        <w:rPr>
          <w:b w:val="0"/>
          <w:i w:val="0"/>
        </w:rPr>
        <w:t>Two-dimensional periapical radiography, the traditional outcome-assessment tool, has documented low sensitivity, particularly in posterior teeth. Cone-beam computed tomography (CBCT) requires only about 8% of the effective radiation dose of conventional CT and has been shown in animal and simulated-defect studies to detect minor periapical bone lesions significantly more accurately than two-dimensional radiography — but its routine use for outcome assessment is not recommended because of the added radiation dose, and studies using CBCT tend to report lower healing rates and longer healing durations than those using conventional radiography, since CBCT is detecting disease that 2-D imaging simply misses [1, PDF p.2153].</w:t>
      </w:r>
    </w:p>
    <w:p>
      <w:pPr>
        <w:pStyle w:val="Heading3"/>
      </w:pPr>
      <w:r>
        <w:t>8.1.3 Success Rates of Primary Nonsurgical Root Canal Treatment</w:t>
      </w:r>
    </w:p>
    <w:p>
      <w:r>
        <w:rPr>
          <w:b w:val="0"/>
          <w:i w:val="0"/>
        </w:rPr>
        <w:t>A systematic review and meta-analysis by Ng and colleagues found the pooled success rate (maintained periapical health) for vital pulpectomy was 83% (95% CI: 77%, 89%), which dropped to 72% (95% CI: 67%, 78%) when root canal treatment was performed to resolve an established infection with a preoperative periapical lesion [1, PDF p.2179–2181]. Ingle's Ch.34 reports independently pooled figures from a different dataset that corroborate the same overall pattern while running somewhat higher: vital pulpectomy success exceeding 94%; necrotic pulps without periradicular periodontitis, 86–95%; and necrotic pulps with periradicular periodontitis, 80–86% [2, p.1070]. The two figures are not in conflict — they reflect different pooled datasets and slightly different success criteria — but the direction of both is identical and worth presenting together: the single strongest predictor of a lower success rate is the preoperative presence of an established periapical lesion, not any particular instrumentation or obturation technique.</w:t>
      </w:r>
    </w:p>
    <w:p>
      <w:r>
        <w:rPr>
          <w:b w:val="0"/>
          <w:i w:val="0"/>
        </w:rPr>
        <w:t>A preobturation-negative intracanal culture test, though it has fallen out of routine clinical use, was found to roughly double the odds of periapical health (pooled OR = 2.1; 95% CI: 1.5, 2.9) compared with a positive culture, and cases testing positive for Enterococcus faecalis or Streptococcus species carried markedly higher failure rates (55% and 90% respectively in one study) than culture-negative cases [1, PDF p.2191–2199].</w:t>
      </w:r>
    </w:p>
    <w:p>
      <w:pPr>
        <w:pStyle w:val="Heading3"/>
      </w:pPr>
      <w:r>
        <w:t>8.1.4 Tooth Survival Versus Periapical Healing</w:t>
      </w:r>
    </w:p>
    <w:p>
      <w:r>
        <w:rPr>
          <w:b w:val="0"/>
          <w:i w:val="0"/>
        </w:rPr>
        <w:t>Survival and healing are distinct outcome dimensions and should not be conflated. A systematic review and meta-analysis found that 93% of endodontically treated teeth survive at 2 years postoperatively, 92% at 5 years, and 88% at 10 years; the most common reasons for eventual tooth loss were problems of endodontic origin, tooth/root fracture, or restoration failure — not failure of periapical healing itself [1, PDF p.2219]. Notably, the presence of a preoperative periapical lesion, the single strongest predictor of reduced periapical healing, was found to have NO significant influence on tooth survival [1, PDF p.2221] — a genuinely counterintuitive finding that reinforces why healing and survival must be tracked and reported as separate outcome measures rather than treated as proxies for one another.</w:t>
      </w:r>
    </w:p>
    <w:p>
      <w:pPr>
        <w:pStyle w:val="Heading3"/>
      </w:pPr>
      <w:r>
        <w:t>8.1.5 Impact of Treatment on Quality of Life</w:t>
      </w:r>
    </w:p>
    <w:p>
      <w:r>
        <w:rPr>
          <w:b w:val="0"/>
          <w:i w:val="0"/>
        </w:rPr>
        <w:t>Root canal treatment has a consistently and substantially positive impact on patients' oral-health-related quality of life (OHRQoL), measured using the Oral Health Impact Profile (OHIP-14 or its modified OHIP-17 version), regardless of the cultural background of the patient population studied. The domains showing the greatest improvement after treatment are physical pain, psychological discomfort (feeling tense), and disability (difficulty relaxing) [1, PDF p.2226–2227].</w:t>
      </w:r>
    </w:p>
    <w:p>
      <w:pPr>
        <w:pStyle w:val="Heading3"/>
      </w:pPr>
      <w:r>
        <w:t>8.1.6 Outcome of Nonsurgical Retreatment</w:t>
      </w:r>
    </w:p>
    <w:p>
      <w:r>
        <w:rPr>
          <w:b w:val="0"/>
          <w:i w:val="0"/>
        </w:rPr>
        <w:t>The mean weighted success rate of nonsurgical root canal retreatment, pooled across multiple studies, is 66% — roughly 6% lower than primary treatment performed on teeth with existing apical periodontitis — attributed to obstructed access to the apical infection and a potentially more treatment-resistant microbiota in previously treated canals [1, PDF p.2229]. Despite the lower healing rate, tooth survival after nonsurgical retreatment may be similar to that after primary treatment [1, PDF p.2229]. Stratified by whether apical periodontitis was present before retreatment, Friedman and Mor's systematic review found healed-case incidence of 92–98% (up to 10 years) when no prior apical periodontitis existed, falling to 74–86% when it was present — essentially identical to the figures reported for primary treatment under the same stratification — which the authors state directly "challenges the historic perception" that retreatment inherently carries a worse prognosis than primary treatment [1, PDF p.1332; full technique and decision-making covered in Sub-Module 8.3].</w:t>
      </w:r>
    </w:p>
    <w:p>
      <w:pPr>
        <w:pStyle w:val="Heading3"/>
      </w:pPr>
      <w:r>
        <w:t>8.1.7 Outcome of Periapical Surgery</w:t>
      </w:r>
    </w:p>
    <w:p>
      <w:r>
        <w:rPr>
          <w:b w:val="0"/>
          <w:i w:val="0"/>
        </w:rPr>
        <w:t>Pooled outcome data for periapical surgery show a striking historical improvement tied directly to technique. An unpublished meta-analysis of older studies found a weighted pooled probability of complete radiographic healing of 67.5% (95% CI: 62.9%, 72.0%); when restricted to "modern" technique (operating microscope, minimal/no apical bevel, ultrasonic retrograde cavity preparation, and contemporary retrograde filling materials), pooled success rose to 92% (95% CI: 86%, 95%). A separate meta-analysis by Setzer and colleagues reported an even larger contrast: 94% (95% CI: 89%, 98%) for a microsurgical approach versus only 59% (95% CI: 55%, 63%) for traditional root-end surgery [1, PDF p.2231]. Stratified by time, pooled healing probability plateaus after 2 years: 51% at 6 months, 68% at 12 months, 76% at 24 months, and 74% beyond 48 months — supporting quality-guideline recommendations to follow surgical cases for a minimum of 2 and up to 4 years [1, PDF p.2237–2238].</w:t>
      </w:r>
    </w:p>
    <w:p>
      <w:r>
        <w:rPr>
          <w:b w:val="0"/>
          <w:i w:val="0"/>
        </w:rPr>
        <w:t>Tooth survival after periapical surgery has been assessed in only one dedicated study at the time of Cohen's writing: median survival time was 92.1 months (95% CI: 40.9, 143.4) for first-time surgery versus only 39.1 months (95% CI: 6.1, 72.1) for resurgery [1, PDF p.2239–2240] — a substantial, clinically important gap that argues for getting first-time surgical case selection and technique right, since a failed resurgery carries a materially shorter further lifespan than a failed first surgery.</w:t>
      </w:r>
    </w:p>
    <w:p>
      <w:pPr>
        <w:pStyle w:val="Heading1"/>
      </w:pPr>
      <w:r>
        <w:t>References</w:t>
      </w:r>
    </w:p>
    <w:p>
      <w:r>
        <w:t>[1] Ng YL, Gulabivala K. Evaluation of outcomes. In: Berman LH, Hargreaves KM, eds. Cohen's Pathways of the Pulp. 12th ed. Elsevier; 2021:chap 17.</w:t>
      </w:r>
    </w:p>
    <w:p>
      <w:r>
        <w:t>[2] Goldberg F. Achieving long-term success with endodontic therapy. In: Ingle JI, ed. Ingle's Endodontics. 7th ed. PMPH-USA; 2019:chap 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