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8.2: Prognostic Factors &amp; Achieving Long-Term Success</w:t>
      </w:r>
    </w:p>
    <w:p>
      <w:r>
        <w:rPr>
          <w:b/>
          <w:i w:val="0"/>
        </w:rPr>
        <w:t>Module 2 — Endodontics, Sub-Module 8: Endodontic Outcomes &amp; Management</w:t>
      </w:r>
    </w:p>
    <w:p>
      <w:pPr>
        <w:pStyle w:val="Heading1"/>
      </w:pPr>
      <w:r>
        <w:t>Note on Sources</w:t>
      </w:r>
    </w:p>
    <w:p>
      <w:r>
        <w:rPr>
          <w:b w:val="0"/>
          <w:i w:val="0"/>
        </w:rPr>
        <w:t>Built from Cohen's Pathways of the Pulp, 12th ed., Ch.17, "Evaluation of outcomes" (Ng YL, Gulabivala K), which contains the most extensive meta-analytic prognostic-factor dataset of any Module 2 source, and Ingle's Endodontics, 7th ed., Ch.34, "Achieving Long-Term Success with Endodontic Therapy" (Goldberg F), which supplies the clinical long-term-monitoring framework (what to actually do with a healed / healing / not-healed / functionally-retained tooth) that complements Cohen's purely statistical treatment of prognostic factors.</w:t>
      </w:r>
    </w:p>
    <w:p>
      <w:r>
        <w:rPr>
          <w:b w:val="0"/>
          <w:i w:val="0"/>
        </w:rPr>
        <w:t>The AAE Healed/Non-healed/Healing/Functional-Retention classification itself was already built in full in Sub-Module 3.4.5 and is not reproduced here — this file cites Ingle's Ch.34 only for the recall-interval and clinical-management content built around that classification, which 3.4 did not cover.</w:t>
      </w:r>
    </w:p>
    <w:p>
      <w:r>
        <w:rPr>
          <w:b w:val="0"/>
          <w:i w:val="0"/>
        </w:rPr>
        <w:t>Citation convention: Cohen's 12th ed. is cited via the PDF-page fallback `[1, PDF p.X]`. Ingle's Ch.34 offset (marker+141 = printed page) is cited as `[2, p.X]`.</w:t>
      </w:r>
    </w:p>
    <w:p>
      <w:pPr>
        <w:pStyle w:val="Heading2"/>
      </w:pPr>
      <w:r>
        <w:t>8.2 Prognostic Factors &amp; Achieving Long-Term Success</w:t>
      </w:r>
    </w:p>
    <w:p>
      <w:pPr>
        <w:pStyle w:val="Heading3"/>
      </w:pPr>
      <w:r>
        <w:t>8.2.1 Patient Factors</w:t>
      </w:r>
    </w:p>
    <w:p>
      <w:r>
        <w:rPr>
          <w:b w:val="0"/>
          <w:i w:val="0"/>
        </w:rPr>
        <w:t>Patient age and sex have consistently been found to have no significant effect on the periapical-healing outcome of root canal treatment, contrary to common clinical assumption. Certain systemic conditions do matter: diabetes and compromised immune response have shown a significant negative influence on healing, though the evidence for a general host-immune-response effect remains weak overall; emerging evidence suggests that single-nucleotide polymorphisms in genes governing the host inflammatory response may independently affect periapical healing outcomes [1, PDF p.2182]. For tooth SURVIVAL specifically (a distinct outcome dimension from healing — Sub-Module 8.1.4), diabetes and systemic steroid therapy were both found to increase the likelihood of extraction after root canal treatment; notably, over half of such extractions were due to persistent pain rather than radiographic disease, possibly reflecting diabetic neuropathy or the chronic-pain conditions for which steroids are often prescribed in the first place [1, PDF p.2220].</w:t>
      </w:r>
    </w:p>
    <w:p>
      <w:pPr>
        <w:pStyle w:val="Heading3"/>
      </w:pPr>
      <w:r>
        <w:t>8.2.2 The Periapical Lesion Itself Is the Dominant Factor</w:t>
      </w:r>
    </w:p>
    <w:p>
      <w:r>
        <w:rPr>
          <w:b w:val="0"/>
          <w:i w:val="0"/>
        </w:rPr>
        <w:t>The presence and size of a preoperative periapical lesion is the single most powerful predictor of reduced periapical healing — vital pulpectomy (no lesion) succeeds at 83% versus 72% once an established periapical lesion is present [1, PDF p.2179–2184; see Sub-Module 8.1.3 for the full success-rate data]. Teeth with large (&gt;5 mm) lesions heal less predictably than those with small (&lt;5 mm) lesions (pooled OR = 2.2; 95% CI: 1.3, 3.7), plausibly because larger, longer-standing lesions harbor a more diverse bacterial population that has penetrated more deeply into dentinal tubules and accessory canal anatomy, placing it beyond the reach of routine chemomechanical disinfection [1, PDF p.2183, 2208]. Counterintuitively, tooth type and canal complexity (number and curvature of canals) do NOT independently predict a worse outcome once periapical status is controlled for — suggesting that apical anatomical complexity, not root number, is what actually drives persistent infection [1, PDF p.2183].</w:t>
      </w:r>
    </w:p>
    <w:p>
      <w:pPr>
        <w:pStyle w:val="Heading3"/>
      </w:pPr>
      <w:r>
        <w:t>8.2.3 Treatment (Operator and Technique) Factors</w:t>
      </w:r>
    </w:p>
    <w:p>
      <w:r>
        <w:rPr>
          <w:b w:val="0"/>
          <w:i w:val="0"/>
        </w:rPr>
        <w:t>Operator training and experience show a clear, if difficult-to-quantify, trend toward better outcomes (undergraduate students &lt; general practitioners &lt; postgraduate students &lt; specialists); rubber dam use has been independently associated with significantly higher success than cotton-roll isolation [1, PDF p.2184–2185]. Achieving patency to the canal terminus roughly doubles the odds of success, while an iatrogenic perforation reduces the odds of success by about 30% [1, PDF p.2206]. On apical preparation size, the accumulated evidence runs counter to the intuition that "bigger is more thorough": no study has found that enlarging the apical preparation beyond roughly an ISO #30 with a 0.05–0.06 taper improves outcome, and several studies found an inverse trend — larger apical preparations are speculated to generate more apical dentin debris, which, without adequate irrigation, can block still-contaminated apical exits ("dentin mud") [1, PDF p.2186–2188]. A negative preobturation culture roughly doubles the odds of periapical health (pooled OR = 2.1), though canal culturing itself has fallen out of routine clinical use [1, PDF p.2191–2192; see Sub-Module 8.1.3]. Among irrigants, supplementary EDTA use significantly improved radiographic healing (OR = 1.5), while — against expectation based on in vitro antibacterial data — supplementary chlorhexidine significantly REDUCED success, attributed to a cytotoxic, carcinogenic para-chloroaniline precipitate formed when chlorhexidine interacts with residual sodium hypochlorite [1, PDF p.2189–2190].</w:t>
      </w:r>
    </w:p>
    <w:p>
      <w:pPr>
        <w:pStyle w:val="Heading3"/>
      </w:pPr>
      <w:r>
        <w:t>8.2.4 Restorative Factors Are Decisive — For Both Healing AND Survival</w:t>
      </w:r>
    </w:p>
    <w:p>
      <w:r>
        <w:rPr>
          <w:b w:val="0"/>
          <w:i w:val="0"/>
        </w:rPr>
        <w:t>The quality of the final coronal restoration exerts one of the largest measured effects on outcome at either level. Satisfactory coronal restoration was associated with significantly better periapical healing (OR = 3.31; 95% CI: 1.07, 10.30), while obvious coronal leakage carried a striking OR of 10.7 (95% CI: 3.7, 31.5) for compromised healing [1, PDF p.2204–2205]. For tooth SURVIVAL, cast restorations (crowns) were associated with significantly better survival than plastic/direct restorations (pooled OR = 3.5; 95% CI: 2.6, 4.7), while placement of a cast post and core, and function as a prosthetic abutment, were both independently associated with REDUCED survival [1, PDF p.2222–2226]. The type of permanent restoration had no influence on periapical healing specifically — it is the presence of an adequate seal, not the specific material, that prevents coronal reinfection; but for survival, cast coverage mechanically protects against fracture in a way a simple core does not. These two restorative effects (seal-driven healing vs. coverage-driven survival) answer different clinical questions and should not be conflated — full restorative decision-making is covered in Sub-Module 8.4.</w:t>
      </w:r>
    </w:p>
    <w:p>
      <w:pPr>
        <w:pStyle w:val="Heading3"/>
      </w:pPr>
      <w:r>
        <w:t>8.2.5 Factors Specific to Surgical Outcome</w:t>
      </w:r>
    </w:p>
    <w:p>
      <w:r>
        <w:rPr>
          <w:b w:val="0"/>
          <w:i w:val="0"/>
        </w:rPr>
        <w:t>An unpublished meta-analysis of periapical surgery outcomes identified the following factors as having a major, independently quantified impact (expressed as risk ratios for success): small (≤5 mm) versus large (&gt;5 mm) lesion (RR = 1.2); lesion involving one versus both cortical plates (RR = 1.2); no prior surgery versus a history of previous surgery (RR = 1.2); use of magnification (RR = 1.5); minimal versus obvious apical bevel (RR = 1.3); ultrasonic versus bur retrograde cavity preparation (RR = 1.3); and retrofilling material — MTA, SuperEBA, or IRM all significantly outperformed amalgam (RR ≈ 1.2), with no significant difference among the three modern materials themselves [1, PDF p.2238]. Preoperative signs/symptoms, periodontal status (RR = 2.1), and coronal restoration quality (RR = 1.6) were also independently significant in individual studies. By contrast, patient age, sex, general health, tooth type, radiographic quality of the pre-existing root filling, and the histologic diagnosis of the biopsied lesion (cyst versus granuloma) all showed minimal effect on surgical outcome [1, PDF p.2238–2239] — a genuinely useful negative finding, since clinicians often assume a confirmed cyst carries a worse surgical prognosis than a granuloma, which the pooled evidence does not support.</w:t>
      </w:r>
    </w:p>
    <w:p>
      <w:pPr>
        <w:pStyle w:val="Heading3"/>
      </w:pPr>
      <w:r>
        <w:t>8.2.6 Long-Term Clinical Management by Outcome Category</w:t>
      </w:r>
    </w:p>
    <w:p>
      <w:r>
        <w:rPr>
          <w:b w:val="0"/>
          <w:i w:val="0"/>
        </w:rPr>
        <w:t>Building on the AAE Healed/Non-healed/Healing/Functional-Retention classification already established in Sub-Module 3.4.5, Ingle's Ch.34 lays out the practical management pathway for each category. A HEALED tooth still warrants periodic monitoring of its coronal restoration, since restorative failure — not recurrence of periapical disease — is now the dominant long-term risk. A HEALING tooth (reducing but not yet fully resolved radiolucency, asymptomatic) requires scheduled clinical and radiographic review every 6 months to 1 year, with the same emphasis on monitoring coronal seal to prevent a relapse into active disease. A NOT-HEALED tooth (persistent or enlarging radiolucency with clinical signs or symptoms) should be advised toward nonsurgical retreatment, surgical retreatment, or extraction, with the choice driven by local anatomical factors and general patient factors (Sub-Module 8.3 covers this decision in full) [2, p.1068–1069]. As a general rule of thumb, most periradicular lesions that are going to heal will do so within 4 years, though some documented cases have required 10 years or longer — reinforcing that a persistent small radiolucency at 1–2 years is not automatically a failure, but genuinely requires continued longitudinal observation before that judgment can be made [2, p.1068].</w:t>
      </w:r>
    </w:p>
    <w:p>
      <w:r>
        <w:rPr>
          <w:b w:val="0"/>
          <w:i w:val="0"/>
        </w:rPr>
        <w:t>A clinically important, easily-overlooked point: immediate postoperative pain or percussion sensitivity, which is common and may last several days after routine treatment, has NO bearing on long-term prognosis in itself and should not by itself be read as a sign of impending failure [2, p.1069]. Conversely, when post-obturation apical periodontitis develops within the first year following treatment — rather than years later — healing is less likely to occur spontaneously, and retreatment should be considered the default rather than a further waiting period [2, p.1068].</w:t>
      </w:r>
    </w:p>
    <w:p>
      <w:pPr>
        <w:pStyle w:val="Heading1"/>
      </w:pPr>
      <w:r>
        <w:t>References</w:t>
      </w:r>
    </w:p>
    <w:p>
      <w:r>
        <w:t>[1] Ng YL, Gulabivala K. Evaluation of outcomes. In: Berman LH, Hargreaves KM, eds. Cohen's Pathways of the Pulp. 12th ed. Elsevier; 2021:chap 17.</w:t>
      </w:r>
    </w:p>
    <w:p>
      <w:r>
        <w:t>[2] Goldberg F. Achieving long-term success with endodontic therapy. In: Ingle JI, ed. Ingle's Endodontics. 7th ed. PMPH-USA; 2019:chap 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