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8.3: Nonsurgical (Orthograde) Retreatment &amp; Management of Mishaps</w:t>
      </w:r>
    </w:p>
    <w:p>
      <w:r>
        <w:rPr>
          <w:b/>
          <w:i w:val="0"/>
        </w:rPr>
        <w:t>Module 2 — Endodontics, Sub-Module 8: Endodontic Outcomes &amp; Management</w:t>
      </w:r>
    </w:p>
    <w:p>
      <w:pPr>
        <w:pStyle w:val="Heading1"/>
      </w:pPr>
      <w:r>
        <w:t>Note on Sources</w:t>
      </w:r>
    </w:p>
    <w:p>
      <w:r>
        <w:rPr>
          <w:b w:val="0"/>
          <w:i w:val="0"/>
        </w:rPr>
        <w:t>Built from Cohen's Pathways of the Pulp, 12th ed., Ch.10, "Nonsurgical retreatment" (Roda RS, Gettleman BH, Johnson SC) as the primary source for etiology, diagnosis, and treatment-planning content, and Ingle's Endodontics, 7th ed., Ch.23, "Endodontic Orthograde Retreatment and Management of Mishaps" (Machtou P, Ruddle CJ), which contributes a genuinely distinct decision-analysis framework (the "Praxis concept" and Retreatment Preference Score) not covered in Cohen's. An initial pass deliberately omitted step-by-step technical detail on post-removal, gutta-percha-solvent protocols, and separated-instrument retrieval as a clinical-skills topic; at the user's explicit request this detail has since been added in full (Sub-Modules 8.3.8–8.3.13 below), condensed from Cohen's exceptionally thorough device-by-device treatment down to the exam-relevant mechanisms, decision logic, and documented risks of each technique rather than reproducing every individual manufacturer's kit. This file covers the diagnostic reasoning, treatment-planning decision, prognosis, AND the technical procedures that govern WHETHER and HOW to retreat, which is the examinable core of the topic.</w:t>
      </w:r>
    </w:p>
    <w:p>
      <w:r>
        <w:rPr>
          <w:b w:val="0"/>
          <w:i w:val="0"/>
        </w:rPr>
        <w:t>Grossman's Endodontic Practice, 14th ed., Ch.21, "Nonsurgical Endodontic Retreatment," was identified as a further candidate source but not read this round — flagged as a future audit candidate rather than silently treated as checked, consistent with this project's standing practice.</w:t>
      </w:r>
    </w:p>
    <w:p>
      <w:r>
        <w:rPr>
          <w:b w:val="0"/>
          <w:i w:val="0"/>
        </w:rPr>
        <w:t>Citation convention: Cohen's 12th ed. is cited via the PDF-page fallback `[1, PDF p.X]`. Ingle's Ch.23 offset was independently verified this session as marker+85 = printed page (PAGE 644→729, PAGE 646→731, confirmed at two points) and is cited as `[2, p.X]`.</w:t>
      </w:r>
    </w:p>
    <w:p>
      <w:pPr>
        <w:pStyle w:val="Heading2"/>
      </w:pPr>
      <w:r>
        <w:t>8.3 Nonsurgical (Orthograde) Retreatment &amp; Management of Mishaps</w:t>
      </w:r>
    </w:p>
    <w:p>
      <w:pPr>
        <w:pStyle w:val="Heading3"/>
      </w:pPr>
      <w:r>
        <w:t>8.3.1 Terminology: “Posttreatment Disease,” Not “Failure”</w:t>
      </w:r>
    </w:p>
    <w:p>
      <w:r>
        <w:rPr>
          <w:b w:val="0"/>
          <w:i w:val="0"/>
        </w:rPr>
        <w:t>Friedman proposed replacing the emotionally loaded terms "success" and "failure" with posttreatment disease — persistent or reintroduced endodontic disease following previous treatment — on the grounds that technically excellent treatment can still result in an undesirable outcome, and technically substandard treatment can still succeed long-term; the older binary vocabulary does not reflect this reality and can become needlessly destructive to clinician self-assessment [1, PDF p.1191–1192]. With roughly 22.3 million root canal procedures performed annually in the United States and reported success rates of 86–98%, even a small per-case failure rate translates into a very large absolute number of posttreatment-disease cases requiring further management [1, PDF p.1192].</w:t>
      </w:r>
    </w:p>
    <w:p>
      <w:pPr>
        <w:pStyle w:val="Heading3"/>
      </w:pPr>
      <w:r>
        <w:t>8.3.2 Etiology of Posttreatment Disease: Four Categories</w:t>
      </w:r>
    </w:p>
    <w:p>
      <w:r>
        <w:rPr>
          <w:b w:val="0"/>
          <w:i w:val="0"/>
        </w:rPr>
        <w:t>Posttreatment disease is classified into four etiological groups, which materially affect whether nonsurgical retreatment can succeed [1, PDF p.1192]:</w:t>
      </w:r>
    </w:p>
    <w:p>
      <w:pPr>
        <w:pStyle w:val="ListBullet"/>
      </w:pPr>
      <w:r>
        <w:t>Persistent or reintroduced intraradicular microorganisms — the dominant cause; infected, previously root-filled canals typically yield a sparse, gram-positive, non-anaerobic flora dominated by Enterococcus faecalis (highly resistant to canal disinfection) rather than the polymicrobial anaerobic flora of an untreated necrotic pulp; Candida albicans is also frequently isolated [1, PDF p.1195].</w:t>
      </w:r>
    </w:p>
    <w:p>
      <w:pPr>
        <w:pStyle w:val="ListBullet"/>
      </w:pPr>
      <w:r>
        <w:t>Extraradicular infection — bacteria that have invaded the periradicular tissues directly (via contaminated periodontal pockets, extruded infected dentin chips, or overextended instruments) and resist host clearance; Actinomyces israelii and Propionibacterium propionicum are documented to persist extraradicularly and prevent healing even after technically adequate root canal therapy [1, PDF p.1195].</w:t>
      </w:r>
    </w:p>
    <w:p>
      <w:pPr>
        <w:pStyle w:val="ListBullet"/>
      </w:pPr>
      <w:r>
        <w:t>Foreign body reaction — to retained material in the periradicular area (lentil beans, cellulose paper-point fibers, overextended filling material); well-tolerated gutta-percha and sealer can still trigger a reaction if bacterially contaminated during overinstrumentation [1, PDF p.1196].</w:t>
      </w:r>
    </w:p>
    <w:p>
      <w:pPr>
        <w:pStyle w:val="ListBullet"/>
      </w:pPr>
      <w:r>
        <w:t>True cysts — periapical cysts (15–42% of all periapical lesions) cannot be distinguished from a granuloma radiographically; TRUE cysts (self-contained epithelial lumen, as opposed to POCKET cysts whose lumen remains open to the root canal) are self-sustaining and generally do NOT heal with nonsurgical therapy alone, usually requiring surgical enucleation [1, PDF p.1196].</w:t>
      </w:r>
    </w:p>
    <w:p>
      <w:r>
        <w:rPr>
          <w:b w:val="0"/>
          <w:i w:val="0"/>
        </w:rPr>
        <w:t>Only the first category (intraradicular microorganisms) is reliably addressed by nonsurgical retreatment alone; extraradicular infection, foreign body reaction, and true cysts generally require a surgical approach [1, PDF p.1213]. The clinical difficulty is that these four etiologies usually cannot be distinguished pre-treatment, which is why the treatment-planning decision below is often necessarily empirical.</w:t>
      </w:r>
    </w:p>
    <w:p>
      <w:pPr>
        <w:pStyle w:val="Heading3"/>
      </w:pPr>
      <w:r>
        <w:t>8.3.3 Diagnosis of Posttreatment Disease</w:t>
      </w:r>
    </w:p>
    <w:p>
      <w:r>
        <w:rPr>
          <w:b w:val="0"/>
          <w:i w:val="0"/>
        </w:rPr>
        <w:t>Diagnosis follows the same subjective-history / objective-examination structure as any endodontic diagnosis (Sub-Module 3), with particular attention to whether aseptic technique (rubber dam) was used during the original treatment — if not, nonsurgical retreatment is almost always indicated regardless of how radiographically acceptable the existing root filling appears, since the canal system can be assumed contaminated [1, PDF p.1199]. Magnification and illumination aid detection of fine root-surface fractures that may otherwise be misattributed to endodontic disease, and occlusal wear facets (indicating occlusal trauma) can complicate both diagnosis and prognosis by predisposing the tooth to further fracture [1, PDF p.1199–1200].</w:t>
      </w:r>
    </w:p>
    <w:p>
      <w:pPr>
        <w:pStyle w:val="Heading3"/>
      </w:pPr>
      <w:r>
        <w:t>8.3.4 Treatment Planning: The Four Options</w:t>
      </w:r>
    </w:p>
    <w:p>
      <w:r>
        <w:rPr>
          <w:b w:val="0"/>
          <w:i w:val="0"/>
        </w:rPr>
        <w:t>Once posttreatment disease is diagnosed, the patient has four basic options, and the choice belongs to the informed patient, not the clinician's unilateral judgment [1, PDF p.1208]:</w:t>
      </w:r>
    </w:p>
    <w:p>
      <w:pPr>
        <w:pStyle w:val="ListBullet"/>
      </w:pPr>
      <w:r>
        <w:t>Do nothing — a defensible short-term option only when etiology remains genuinely uncertain and further diagnostic information is needed; requires thorough documentation of the discussion to avoid any later accusation of abandonment.</w:t>
      </w:r>
    </w:p>
    <w:p>
      <w:pPr>
        <w:pStyle w:val="ListBullet"/>
      </w:pPr>
      <w:r>
        <w:t>Extract the tooth — now a more viable option given modern implant dentistry, but extraction and replacement is reliably inferior, costlier, and more time-consuming than retaining a natural tooth; peri-implantitis is a real, documented failure mode of implant replacement, and fixed partial dentures carry their own risk of inducing endodontic disease in abutment teeth at a rate of up to 10% [1, PDF p.1209–1210].</w:t>
      </w:r>
    </w:p>
    <w:p>
      <w:pPr>
        <w:pStyle w:val="ListBullet"/>
      </w:pPr>
      <w:r>
        <w:t>Nonsurgical retreatment.</w:t>
      </w:r>
    </w:p>
    <w:p>
      <w:pPr>
        <w:pStyle w:val="ListBullet"/>
      </w:pPr>
      <w:r>
        <w:t>Surgical retreatment.</w:t>
      </w:r>
    </w:p>
    <w:p>
      <w:r>
        <w:rPr>
          <w:b w:val="0"/>
          <w:i w:val="0"/>
        </w:rPr>
        <w:t>A tooth is generally considered nonrestorable — effectively removing options 3 and 4 — when caries or fracture extends into the furcation or biologic width, when terminal periodontal disease or root fracture has already doomed the periodontal prognosis independent of the pulp, or when a nonretrievable separated instrument or irreparable ledge coincides with proximity to a vital structure such as the inferior alveolar canal [1, PDF p.1211–1213].</w:t>
      </w:r>
    </w:p>
    <w:p>
      <w:pPr>
        <w:pStyle w:val="Heading3"/>
      </w:pPr>
      <w:r>
        <w:t>8.3.5 Nonsurgical Versus Surgical Retreatment: A Decision That Has Reversed With Technique</w:t>
      </w:r>
    </w:p>
    <w:p>
      <w:r>
        <w:rPr>
          <w:b w:val="0"/>
          <w:i w:val="0"/>
        </w:rPr>
        <w:t>Older outcome literature, based on traditional (non-microsurgical) apical surgery, reported nonsurgical retreatment healing rates of 74–98% versus only 59% complete healing for surgery alone — rising to 80% when surgery was preceded by orthograde retreatment — which made nonsurgical retreatment the historically preferred first option: it is less invasive, carries less risk to adjacent vital structures, and most reliably addresses the dominant etiology (intraradicular infection) [1, PDF p.1213–1214]. However, this calculus has been substantially revised by modern microsurgical technique: several meta-analyses of contemporary endodontic microsurgery (operating microscope, ultrasonic retrograde preparation, modern root-end filling materials) report success rates of 89–94%, materially narrowing or even reversing the traditional advantage once attributed to nonsurgical retreatment [1, PDF p.1214; full surgical outcome data in Sub-Module 8.1.7]. Nonsurgical retreatment nonetheless remains more costly in time, and in cases with large existing restorations it may require sacrificing substantial prosthetic work during disassembly — a real practical cost that pure healing-rate comparisons do not capture [1, PDF p.1214].</w:t>
      </w:r>
    </w:p>
    <w:p>
      <w:pPr>
        <w:pStyle w:val="Heading3"/>
      </w:pPr>
      <w:r>
        <w:t>8.3.6 A Formal Decision Framework: The “Praxis Concept” and the Retreatment Preference Score</w:t>
      </w:r>
    </w:p>
    <w:p>
      <w:r>
        <w:rPr>
          <w:b w:val="0"/>
          <w:i w:val="0"/>
        </w:rPr>
        <w:t>Ingle's Ch.23 contributes a decision-analysis framework largely absent from Cohen's treatment: Kvist's "Praxis concept" model, which reframes periapical status not as a binary (diseased/healthy) but as a continuum from perfect health to a large lesion, with the DECISION to retreat influenced by factors unrelated to disease severity itself — technical feasibility, anticipated pain, and cost [2, p.732]. Using a "Retreatment Preference Score" (RPS, scored 0.0 for a large lesion to 1.0 for no lesion at all), both graduate students and endodontic specialists across multiple studies converged on a similar cutoff of roughly 0.3–0.38 — i.e., clinicians across experience levels tend to recommend retreatment once a lesion reaches only medium size, a genuinely useful calibration point since individual clinical judgment on this question is otherwise highly variable [2, p.732].</w:t>
      </w:r>
    </w:p>
    <w:p>
      <w:r>
        <w:rPr>
          <w:b w:val="0"/>
          <w:i w:val="0"/>
        </w:rPr>
        <w:t>The retreatment decision is formalized as a three-step ("3-D") process: Decide if the tooth is a failure; Decide to treat; and (implicitly) decide how. For an asymptomatic, lesion-free tooth with a technically deficient original filling but an intact coronal seal, a wait-and-see approach led to complications in only 2.8% of cases over a 6-year follow-up — but if a new coronal restoration is already planned for unrelated reasons, the case should be treated as a potential failure and retreatment considered, since retreating in this specific low-risk scenario still carries a documented 6% own risk of inducing failure through over-instrumentation or overfilling [2, p.732]. For an asymptomatic tooth WITH an existing periapical lesion, histologic confirmation of granulomatous tissue or cyst formation occurs in 95% of cases when biopsied — meaning the great majority of persistent radiolucencies do represent genuine ongoing inflammatory disease rather than inert scar tissue, even when the patient has no symptoms [2, p.733].</w:t>
      </w:r>
    </w:p>
    <w:p>
      <w:pPr>
        <w:pStyle w:val="Heading3"/>
      </w:pPr>
      <w:r>
        <w:t>8.3.7 Prognosis of Retreatment</w:t>
      </w:r>
    </w:p>
    <w:p>
      <w:r>
        <w:rPr>
          <w:b w:val="0"/>
          <w:i w:val="0"/>
        </w:rPr>
        <w:t>When diagnosis is correct and retreatment technique is sound, orthograde retreatment prognosis depends primarily on whether apical periodontitis was present beforehand — not on whether the procedure is a primary treatment or a retreatment. Friedman and Mor's systematic review found healed-case rates of 92–98% (up to 10 years) in the absence of prior apical periodontitis, falling to 74–86% when it was present, for BOTH primary treatment and orthograde retreatment alike — directly challenging the historic assumption that retreatment inherently carries a worse prognosis than initial treatment [1, PDF p.1332]. In practical terms, this also means that even with technically sound retreatment, the desired healing outcome will not occur in roughly one-quarter of cases that present with pre-existing apical periodontitis; when healing does not occur, the remaining options are observation ("functional retention" if the tooth remains asymptomatic), endodontic surgery, intentional replantation, or extraction [1, PDF p.1334].</w:t>
      </w:r>
    </w:p>
    <w:p>
      <w:r>
        <w:rPr>
          <w:b w:val="0"/>
          <w:i w:val="0"/>
        </w:rPr>
        <w:t>Most teeth presenting with posttreatment disease CAN be returned to long-term health and function through retreatment, and since no prosthetic replacement functions as well as a natural tooth, retreatment generally offers the greatest overall benefit to the patient when it is technically feasible [1, PDF p.1337].</w:t>
      </w:r>
    </w:p>
    <w:p>
      <w:pPr>
        <w:pStyle w:val="Heading3"/>
      </w:pPr>
      <w:r>
        <w:t>8.3.8 Coronal Disassembly and Crown/Post Removal</w:t>
      </w:r>
    </w:p>
    <w:p>
      <w:r>
        <w:rPr>
          <w:b w:val="0"/>
          <w:i w:val="0"/>
        </w:rPr>
        <w:t>Retreatment access is often called coronal disassembly, since most retreated teeth carry a full-coverage restoration, frequently post-retained, that must be taken apart before the canal system can even be reached [1, PDF p.1217]. The clinician must first decide whether to access THROUGH an existing satisfactory crown (preserves occlusion, esthetics, and rubber-dam isolation, but restricts visibility and raises the risk of missing hidden recurrent caries, a fracture, or an extra canal) or to REMOVE the crown first (better visibility and lower risk of iatrogenic error, at the cost of more difficult isolation and a real risk of damaging the restoration during removal) [1, PDF p.1218–1220]. Access through an existing all-ceramic or zirconia crown carries a genuine, documented risk of porcelain micro-fracture; zirconia specifically produces visible light-flashes under a conventional diamond bur (a practical sign the clinician has reached the zirconia substructure) and requires copious irrigation and zirconia-specific burs to cut efficiently [1, PDF p.1218–1219]. A range of dedicated crown-removal devices exist (gripping pliers, margin-engaging forceps, pneumatic/vibratory impact removers, screw-threaded lifting devices, and the Richwil heat-softened resin block that the patient bites into) — each trading off conservation of the restoration against predictability, and none works in every case [1, PDF p.1220–1223].</w:t>
      </w:r>
    </w:p>
    <w:p>
      <w:r>
        <w:rPr>
          <w:b w:val="0"/>
          <w:i w:val="0"/>
        </w:rPr>
        <w:t>Once access is achieved, a post is frequently encountered. The single governing rule of ALL intracanal obstruction removal is explicit in Cohen's chapter: "it is not only what is removed, but what is left behind that is important" — successfully extracting a post while leaving an eggshell-thin, unrestorable root is not a successful outcome [1, PDF p.1226]. Post removal proceeds in stages: core material is cleared with progressively less aggressive instruments (high-speed bur → slow-speed/mid-sized ultrasonic tip → small ultrasonic tip) to expose the post while conserving the maximum tooth structure and post length — the more post exposed, the more removal options become available [1, PDF p.1227]. A circumferential ultrasonic tip applied at the post–cement interface, with copious coolant and 10–15-second work cycles to limit heat buildup, disrupts the cement bond and frequently loosens or fully removes the post on its own [1, PDF p.1227–1229]. If ultrasonic de-bonding alone fails, dedicated trephine-and-extraction-mandrel kits (Gonon for passive posts, Thomas for threaded/active posts, Ruddle/Universal Post Remover combining both approaches) mill the exposed post to a standard diameter so a matched mandrel can be tapped onto it and a screw-vice applies a controlled coronal extraction force along the root's long axis [1, PDF p.1230–1235]. Tooth-colored (ceramic, zirconia, fiber-reinforced composite) posts cannot be removed by these kits or by ultrasonics; staining the post's coronal face with methylene blue dye before removal lets the clinician distinguish post material from canal wall under magnification and remove only the post, conserving dentin — zirconia posts in particular are essentially unretrievable given their diamond-approaching hardness [1, PDF p.1238–1239].</w:t>
      </w:r>
    </w:p>
    <w:p>
      <w:r>
        <w:rPr>
          <w:b w:val="0"/>
          <w:i w:val="0"/>
        </w:rPr>
        <w:t>Documented complications of post removal include tooth fracture, root perforation (especially when a post is simply drilled out with a high-speed bur), post separation leaving an even-less-accessible fragment, and periodontal heat damage from prolonged ultrasonic use — case documentation exists of a tooth lost to bone sloughing after only 5 minutes of high-power ultrasonic application despite concurrent water spray [1, PDF p.1241–1243]. If a post cannot be removed, the decision tree depends on WHY removal was attempted: if purely restorative and the existing post/segment can support an adequate restoration, it may be left in place; if removal was needed because of persistent disease, the tooth should proceed to surgical treatment instead [1, PDF p.1243–1244].</w:t>
      </w:r>
    </w:p>
    <w:p>
      <w:pPr>
        <w:pStyle w:val="Heading3"/>
      </w:pPr>
      <w:r>
        <w:t>8.3.9 Removing the Previous Root Filling</w:t>
      </w:r>
    </w:p>
    <w:p>
      <w:r>
        <w:rPr>
          <w:b w:val="0"/>
          <w:i w:val="0"/>
        </w:rPr>
        <w:t>Gutta-percha, by far the most common root-filling material encountered, is removed using a combination of heat (a controlled heat source such as Touch 'n Heat, applied in short bursts to avoid periodontal-ligament damage, softens and adheres coronal gutta-percha to the carrier for removal), small Gates-Glidden drills to clear the cervical third, and — for apical, well-condensed material — a gutta-percha solvent [1, PDF p.1245–1246]. Chloroform remains the most effective and most commonly used solvent despite a 1976 FDA cosmetic/drug ban prompted by suspected carcinogenicity (a ban that never extended to dental use); eucalyptol and xylene are slower-acting alternatives, and halothane is comparably effective to chloroform but costlier and carries its own hepatotoxicity risk [1, PDF p.1247]. A clinically important pitfall: electronic apex locators become UNRELIABLE during gutta-percha removal (the file surface is coated in dissolved chloropercha), with documented tendencies toward both under- and over-estimating working length in different studies — a confirmatory radiograph near the estimated working length is therefore required rather than trusting the apex locator alone mid-retreatment [1, PDF p.1248–1249]. Engine-driven dedicated retreatment files (ProTaper Universal Retreatment, Mtwo R) remove the bulk of gutta-percha faster than hand instruments in most studies, but carry a documented HIGHER rate of instrument separation during retreatment than during primary treatment — no technique, hand or rotary, removes 100% of the previous filling material from the canal system, so final hand-file cleaning and a solvent "wick-out" with paper points remain necessary regardless of which bulk-removal method is chosen [1, PDF p.1252–1253, 1256].</w:t>
      </w:r>
    </w:p>
    <w:p>
      <w:r>
        <w:rPr>
          <w:b w:val="0"/>
          <w:i w:val="0"/>
        </w:rPr>
        <w:t>Solid-core (carrier-based) obturators require identifying the carrier material before attempting removal, since the three types behave completely differently: METAL carriers (fluted, resembling a hand file under gutta-percha) are softened with heat and grasped with Steiglitz forceps, or treated like a separated instrument if too little is exposed; PLASTIC carriers are heat-sensitive and must NOT be heated, instead removed by dissolving the surrounding gutta-percha with solvent and then threading a Hedstrom file alongside the carrier to withdraw it; and the newer cross-linked-gutta-percha GuttaCore carrier is heat- and solvent-RESISTANT but brittle, and is instead simply chopped up with rotary retreatment files or ultrasonics [1, PDF p.1259–1270]. Distinguishing GuttaCore (pink/gray) from a plastic carrier (black) by color, or by lightly touching it with a heat source to see if it melts, is the practical first step before committing to a removal technique [1, PDF p.1268].</w:t>
      </w:r>
    </w:p>
    <w:p>
      <w:r>
        <w:rPr>
          <w:b w:val="0"/>
          <w:i w:val="0"/>
        </w:rPr>
        <w:t>Paste fills — now a deviation from standard of care but still occasionally encountered, particularly outside North America — are of unknown, clinician-specific composition and must be treated as potentially toxic; many (e.g., N2, RC2B) contain formaldehyde and heavy metal oxides and carry a real risk of severe postoperative pain or neurotoxic paresthesia if overextended during removal [1, PDF p.1270–1272]. Removal is empirical: soft pastes yield to crown-down instrumentation with copious irrigation, while hard-set pastes require trial-and-error solvent selection (Endosolv-E for zinc oxide–eugenol-based pastes, Endosolv-R for resin-based pastes) guided, where possible, by contacting the original treating clinician [1, PDF p.1272]. Silver points, a once-standard material now considered a deviation from standard of care because they corrode (producing cytotoxic silver sulfide/sulfate/carbonate) and only plug the apical constriction without sealing accessory canals, are generally easier to remove than separated instruments since they are smooth-sided and minimally tapered — chloroform-assisted forceps extraction is the first-line technique, escalating to indirect ultrasonic energy (applied to the forceps, not directly to the soft silver point, which would shred it) or braided Hedstrom files if forceps alone fail [1, PDF p.1275–1281].</w:t>
      </w:r>
    </w:p>
    <w:p>
      <w:pPr>
        <w:pStyle w:val="Heading3"/>
      </w:pPr>
      <w:r>
        <w:t>8.3.10 Removal of Separated Instruments</w:t>
      </w:r>
    </w:p>
    <w:p>
      <w:r>
        <w:rPr>
          <w:b w:val="0"/>
          <w:i w:val="0"/>
        </w:rPr>
        <w:t>Instrument separation occurs in an estimated 0.25% of hand-instrumented canals versus 1.68–2.4% of rotary-instrumented canals, most commonly from improper use (failing to discard a flawed or fatigued instrument, excessive apical pressure, instrumenting a dry unlubricated canal) or from anatomical complexity (an iatrogenic S-curve created by an underprepared access, which is especially hazardous for rotary files) — true manufacturing defects are rare and have never been shown clinically significant [1, PDF p.1287–1290]. Critically, a separated instrument does NOT by itself predict posttreatment disease or condemn the tooth: prognosis is governed by the preoperative pulpal/periapical status and the STAGE of instrumentation at which separation occurred, not by the fragment's mere presence — if the preoperative pulp was vital and the canal was already well-shaped when separation occurred, prognosis is essentially unaffected, and successfully bypassing or incorporating the fragment into obturation carries the same favorable prognosis as removing it [1, PDF p.1290–1291]. A separated instrument apical to the canal curvature, in a thin or externally concave root, is a strong relative indication to favor surgery over an orthograde retrieval attempt, given the higher complication rate reported for deep orthograde removal in this anatomy [1, PDF p.1291].</w:t>
      </w:r>
    </w:p>
    <w:p>
      <w:r>
        <w:rPr>
          <w:b w:val="0"/>
          <w:i w:val="0"/>
        </w:rPr>
        <w:t>The operating microscope is described as not merely helpful but NECESSARY for predictable separated-instrument retrieval [1, PDF p.1291–1292]. Technique escalates in invasiveness: a visible, loose fragment is simply grasped with forceps and withdrawn with a slight counterclockwise (unscrewing) motion; a deeper fragment requires first creating a straight-line "staging platform" with modified (tip-truncated) Gates-Glidden drills, after which a counterclockwise-vibrating ultrasonic tip is applied directly to the staging platform to unscrew and loosen the fragment — this works well for stainless steel instruments but tends to SHATTER nickel-titanium fragments into smaller, harder-to-retrieve pieces, a real and clinically important material-specific difference [1, PDF p.1293–1296]. If direct ultrasonic loosening fails, microtube techniques (a stainless tube plus a Hedstrom file wedged alongside the fragment, a wire-loop snare, or a tube bonded to the fragment with cyanoacrylate) or dedicated trephine-and-extraction kits (Masserann, Roydent Extractor, Instrument Removal System, S.I.R.) grasp and withdraw the exposed fragment — all of these techniques trade a variable amount of additional radicular dentin removal for retrieval, so the smallest effective trephine/tube size is always preferred to avoid weakening the root [1, PDF p.1297–1304].</w:t>
      </w:r>
    </w:p>
    <w:p>
      <w:pPr>
        <w:pStyle w:val="Heading3"/>
      </w:pPr>
      <w:r>
        <w:t>8.3.11 Heat Generation: A Genuine Safety Constraint on Retreatment Technique</w:t>
      </w:r>
    </w:p>
    <w:p>
      <w:r>
        <w:rPr>
          <w:b w:val="0"/>
          <w:i w:val="0"/>
        </w:rPr>
        <w:t>Heat generated by ultrasonic vibration during post and separated-instrument removal is identified as the single greatest thermal-injury risk in all of nonsurgical retreatment: temperature elevations of the periodontal ligament exceeding 10°C can damage the attachment apparatus, and one in vitro study measured a root-surface temperature rise approaching 10°C in as little as 15 seconds of uncooled ultrasonic application [1, PDF p.1307]. No evidence-based protocol yet exists for safe activation duration or rest intervals, but the chapter's own stated working recommendations are to use water-port ultrasonic tips (or a continuous assistant-delivered air/water spray if the device lacks them), take frequent cooling breaks, and avoid high-power settings — explicitly acknowledged as a precautionary rather than evidence-quantified standard, since even water-cooled tips have still been shown to permit rapid temperature rise in some studies [1, PDF p.1307–1308].</w:t>
      </w:r>
    </w:p>
    <w:p>
      <w:pPr>
        <w:pStyle w:val="Heading3"/>
      </w:pPr>
      <w:r>
        <w:t>8.3.12 Managing Canal Blocks and Ledges</w:t>
      </w:r>
    </w:p>
    <w:p>
      <w:r>
        <w:rPr>
          <w:b w:val="0"/>
          <w:i w:val="0"/>
        </w:rPr>
        <w:t>Once the previous filling is removed, further apical progress may be stopped by a BLOCK (packed, often infected dentinal "mud" and residual pulp tissue filling the apical canal, from instrumentation short of working length without patency checks) or a LEDGE (an iatrogenic canal-wall irregularity on the outer aspect of a curvature, created by forcing a non-precurved end-cutting file) — both are largely preventable iatrogenic mishaps, and the presence of either is a recognized cause of posttreatment disease since the canal apical to them cannot be properly cleaned or sealed [1, PDF p.1308–1309]. A short root filling visible on the preoperative radiograph should NOT by itself discourage attempting nonsurgical retreatment: one study found 74% of teeth with short fills were successfully negotiated to full working length [1, PDF p.1309].</w:t>
      </w:r>
    </w:p>
    <w:p>
      <w:r>
        <w:rPr>
          <w:b w:val="0"/>
          <w:i w:val="0"/>
        </w:rPr>
        <w:t>Managing a block uses a small precurved file with a directional rubber stop, gentle "pecking" pressure to find a "sticky" spot of resistance on withdrawal (the likely entrance to the apical segment), and patient, incremental progress — excessive rotation or force risks separating the probing file itself, which is frequently unretrievable and may force a surgical outcome [1, PDF p.1310–1311]. Managing a ledge uses a small file deliberately bent 1–2 mm from its tip at roughly 45 degrees, oriented via the rubber stop toward the INSIDE of the canal curvature (since ledges form on the outside of a curve) and scraped along the inner wall slightly coronal to the ledge to find the true canal's entrance; once bypassed, the ledge is "blended" into the preparation as much as possible using anticurvature filing, though it frequently cannot be fully eliminated — this does not itself compromise prognosis as long as the true apical segment is cleaned and obturated [1, PDF p.1311–1315]. If a block or ledge genuinely cannot be negotiated, the canal is cleaned, shaped, and sealed only to that level, the patient is informed of the guarded prognosis and need for follow-up, and apical surgery or extraction remain the fallback if posttreatment disease later develops [1, PDF p.1316].</w:t>
      </w:r>
    </w:p>
    <w:p>
      <w:pPr>
        <w:pStyle w:val="Heading3"/>
      </w:pPr>
      <w:r>
        <w:t>8.3.13 Repair of Perforations</w:t>
      </w:r>
    </w:p>
    <w:p>
      <w:r>
        <w:rPr>
          <w:b w:val="0"/>
          <w:i w:val="0"/>
        </w:rPr>
        <w:t>Perforations may be pathologic (resorption, caries) or iatrogenic (zip, strip, or furcation perforation during instrumentation; post-space perforation) and are generally detected by angled radiographs showing filling or restorative material crossing the dentin–periodontal-ligament interface outside the expected canal outline [1, PDF p.1319–1320]. Prognosis depends on perforation LOCATION (more apical = better biological prognosis but technically harder to repair; furcal-floor and coronal-third access perforations are easiest to repair, middle-third strip/post perforations harder, apical-third perforations hardest and frequently require surgery), TIME TO REPAIR (immediate repair is substantially better than delayed, since delay allows periodontal breakdown and a difficult-to-manage combined endo-perio lesion to develop), and whether the defect can be predictably sealed [1, PDF p.1322–1323]. Nonsurgical (internal, through-the-tooth) repair is generally preferred over a surgical external approach when feasible, since it is less invasive and better isolated from contamination; surgery is favored when the defect is readily accessible externally or when restorative disassembly would be prohibitively costly or time-consuming [1, PDF p.1320].</w:t>
      </w:r>
    </w:p>
    <w:p>
      <w:r>
        <w:rPr>
          <w:b w:val="0"/>
          <w:i w:val="0"/>
        </w:rPr>
        <w:t>Mineral trioxide aggregate (MTA) is identified as the material that resolved the historically unpredictable outcomes of perforation repair: it seals well even when the preparation is blood-contaminated, is highly biocompatible with cementum-like tissue consistently forming directly on its surface, and shows favorable long-term clinical outcomes — its main drawback is a long setting time that makes it unsuitable for transgingival (cervical) defects exposed to oral fluids before setting, where a faster-setting resin-ionomer such as Geristore is preferred instead [1, PDF p.1324–1326]. Newer bioceramics (Biodentine, EndoSequence Root Repair Material) handle more easily than MTA and cause less tooth discoloration, though their set material is not as hard as MTA's. Astringent hemostatic agents such as ferric sulfate should specifically be AVOIDED during perforation repair (unlike their acceptable use elsewhere in vital pulp therapy, Sub-Module 7.1) since the coagulum they leave behind can promote bacterial growth and compromise the repair's seal — collagen, calcium sulfate, or calcium hydroxide are preferred hemostatic choices here instead [1, PDF p.1326]. During repair, the canal orifices must be protected from blockage by the setting material using cotton, gutta-percha cones, or paper points — NOT a severed file, since repair material predictably locks into a file's flutes and becomes very difficult to remove afterward [1, PDF p.1327–1328]. For a deeper, mid-root perforation, an indirect technique exists in which a file is deliberately left in the canal below the defect as both a canal protector and an ultrasonic energy conduit — touching an activated ultrasonic tip to the file's coronal end vibrates the MTA into the defect ("slumping" it into place) when direct condensation access is impossible [1, PDF p.1329].</w:t>
      </w:r>
    </w:p>
    <w:p>
      <w:pPr>
        <w:pStyle w:val="Heading1"/>
      </w:pPr>
      <w:r>
        <w:t>References</w:t>
      </w:r>
    </w:p>
    <w:p>
      <w:r>
        <w:t>[1] Roda RS, Gettleman BH, Johnson SC. Nonsurgical retreatment. In: Berman LH, Hargreaves KM, eds. Cohen's Pathways of the Pulp. 12th ed. Elsevier; 2021:chap 10.</w:t>
      </w:r>
    </w:p>
    <w:p>
      <w:r>
        <w:t>[2] Machtou P, Ruddle CJ. Endodontic orthograde retreatment and management of mishaps. In: Ingle JI, ed. Ingle's Endodontics. 7th ed. PMPH-USA; 2019:chap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