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1.2: Physical Properties</w:t>
      </w:r>
    </w:p>
    <w:p>
      <w:r>
        <w:t>Module 3: Dental Materials &amp; Material Science | Sub-Module 1.2</w:t>
      </w:r>
    </w:p>
    <w:p/>
    <w:p>
      <w:pPr>
        <w:pStyle w:val="Heading2"/>
      </w:pPr>
      <w:r>
        <w:t>Note on Sources</w:t>
      </w:r>
    </w:p>
    <w:p>
      <w:r>
        <w:t xml:space="preserve">Sources used in this document: </w:t>
      </w:r>
      <w:r>
        <w:t>[1] Philips' Science of Dental Materials (13th ed.) — primary source for density/porosity classification and color/translucency/opacity mechanisms (its Chapters 1, 3, and 10 cover this sub-module's scope almost exactly); [2] Craig's Restorative Dental Materials (14th ed.) — primary source for thermal properties (real conductivity/diffusivity/CTE tables) and solubility/water sorption data (quantified composite-specific values); [3] Esthetics in Dentistry (Ronald E. Goldstein, 3rd ed.) — used for the light-object-observer "color triplet" framework, a genuinely complementary framing to Philips' hue/value/chroma treatment.</w:t>
      </w:r>
      <w:r>
        <w:t xml:space="preserve"> [4] McCabe JF, Walls AWG. Applied Dental Materials (9th ed.) — a second real thermal-conductivity data table (cross-checking Craig's), the thermal-diffusivity measurement method, and hardness-test mechanics not previously covered.</w:t>
      </w:r>
      <w:r>
        <w:t xml:space="preserve"> [5] Powers JM, Wataha JC. Dental Materials: Properties and Manipulation (10th ed.) — an honest lab-vs-clinical solubility discrepancy (zinc phosphate cement), the absorption/adsorption distinction, and wettability/contact-angle mechanics, none previously covered.</w:t>
      </w:r>
      <w:r>
        <w:t xml:space="preserve"> [6] Craig RG, ed. Restorative Dental Materials (11th ed., University of Michigan) — a sixth new textbook, giving real sealant penetration-coefficient data, the isolated-capillary mechanism of denture retention, and metamerism/thermal-shock as concrete worked clinical problems.</w:t>
      </w:r>
    </w:p>
    <w:p>
      <w:r>
        <w:t xml:space="preserve">Per the standing skill rule, every extracted textbook was grepped for this sub-module's key terms (porosity, density, translucency, opacity, thermal conductivity, thermal expansion, solubility, water sorption, hygroscopic) before finalizing sources. </w:t>
      </w:r>
      <w:r>
        <w:t>McCabe's, Summitt's, Marzouk's, and Sturdevant's all returned substantial hit counts but were checked and found redundant with what Philips'/Craig's already supply for this specific fundamentals-level scope; their strongest thermal/solubility content is clinical-application-specific (e.g., amalgam- or composite-placement-specific) and is better reserved for Module 1's already-delivered material sub-modules or Module 3's later Material Classification sub-module.</w:t>
      </w:r>
    </w:p>
    <w:p>
      <w:r>
        <w:rPr>
          <w:b/>
        </w:rPr>
        <w:t xml:space="preserve">Revision note: </w:t>
      </w:r>
      <w:r>
        <w:t>the user asked whether McCabe's (Applied Dental Materials) — on the standing Module 3 secondary source list — had been checked for this sub-module; it had not been. It has a real, independently-measured thermal conductivity table (different units from Craig's, useful as a cross-check) and a thermal-diffusivity measurement methodology not previously covered. Both added below.</w:t>
      </w:r>
    </w:p>
    <w:p>
      <w:r>
        <w:rPr>
          <w:b/>
        </w:rPr>
        <w:t xml:space="preserve">Third revision note: </w:t>
      </w:r>
      <w:r>
        <w:t>the user supplied a fifth new textbook, Restorative Dental Materials (Craig, ed., 11th ed., University of Michigan) — distinct from the 14th-edition Craig's already used. It has real, quantified sealant-penetration and denture-retention capillary-physics data, plus a genuinely useful "worked clinical problem" format (metamerism, ceramic thermal shock, denture Tg distortion) not previously used in this sub-module. Added below.</w:t>
      </w:r>
    </w:p>
    <w:p>
      <w:r>
        <w:rPr>
          <w:b/>
        </w:rPr>
        <w:t xml:space="preserve">Second revision note: </w:t>
      </w:r>
      <w:r>
        <w:t>the user supplied a fourth new textbook, Dental Materials: Properties and Manipulation (Powers &amp; Wataha, 10th ed.) — the original file was a scanned image PDF with no extractable text, and the user separately supplied an OCR'd version once this gap was flagged. It adds a genuinely honest caveat about lab-measured solubility not always matching clinical reality, a clean absorption/adsorption distinction, and wettability/contact-angle mechanics not previously covered here. Added below.</w:t>
      </w:r>
    </w:p>
    <w:p>
      <w:r>
        <w:rPr>
          <w:b/>
        </w:rPr>
        <w:t xml:space="preserve">A note on a numeric discrepancy: </w:t>
      </w:r>
      <w:r>
        <w:t>the Module 3 outline lists approximate CTE figures for this topic (dentin ~17 ppm/°C, gold ~14, composite 20-40, porcelain 5-8). Craig's actual measured data (Section 3 below) gives different, more specific values — e.g. dentin 8.3 x10⁻⁶/°C (or 11.4 for "tooth, crown portion" combining enamel+dentin), gold 14.4, porcelain 12.0. Per the standing source-priority rule, the real textbook data is used and cited below rather than the outline's approximate placeholder figures; the outline governs topic coverage, not the literal numbers.</w:t>
      </w:r>
    </w:p>
    <w:p>
      <w:r>
        <w:br w:type="page"/>
      </w:r>
    </w:p>
    <w:p>
      <w:pPr>
        <w:pStyle w:val="Heading1"/>
      </w:pPr>
      <w:r>
        <w:t>1.2.1 Density &amp; Porosity</w:t>
      </w:r>
    </w:p>
    <w:p>
      <w:pPr>
        <w:pStyle w:val="Heading2"/>
      </w:pPr>
      <w:r>
        <w:t>Theoretical vs. Actual Density</w:t>
      </w:r>
    </w:p>
    <w:p>
      <w:r>
        <w:t>Pure gold has a theoretical (maximal) density of 19.3 g/cm3. Yet the apparent density of a direct-filling gold restoration, after condensation into a cavity, is often well below 16 g/cm3 — a striking illustration of the theoretical-vs-actual density distinction, since the difference is entirely accounted for by voids trapped within the compacted material rather than by any change in the gold itself. Different compacting techniques (hand vs. mechanical condensation, different gold forms) yield measurably different apparent densities, and this apparent-density value functions as a direct proxy for how much porosity a given technique leaves behind. [1, p.388]</w:t>
      </w:r>
    </w:p>
    <w:p>
      <w:r>
        <w:rPr>
          <w:b/>
        </w:rPr>
        <w:t xml:space="preserve">Density as a material-selection variable: </w:t>
      </w:r>
      <w:r>
        <w:t>comparative density data across metal-ceramic framework alloys shows just how widely density varies by alloy family — high-noble alloy 14 g/cm3, Co-Cr 7.5 g/cm3, Ni-Cr-Be 8.7 g/cm3, and commercially pure titanium only 4.5 g/cm3. Density differences of this magnitude have direct clinical consequences beyond weight: they correlate with differences in elastic modulus, sag resistance, and technique sensitivity for the same table of alloys, meaning density is rarely selected for in isolation — it travels with a cluster of other properties. [1, p.344]</w:t>
      </w:r>
    </w:p>
    <w:p>
      <w:pPr>
        <w:pStyle w:val="Heading2"/>
      </w:pPr>
      <w:r>
        <w:t>Classification of Porosity in Castings</w:t>
      </w:r>
    </w:p>
    <w:p>
      <w:r>
        <w:t>Porosity in noble-metal-alloy castings falls into two fundamentally different origin categories, each with its own sub-types: [1, p.220]</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Sub-types</w:t>
            </w:r>
          </w:p>
        </w:tc>
      </w:tr>
      <w:tr>
        <w:tc>
          <w:tcPr>
            <w:tcW w:type="dxa" w:w="4320"/>
          </w:tcPr>
          <w:p>
            <w:r>
              <w:t>I. Solidification defects</w:t>
            </w:r>
          </w:p>
        </w:tc>
        <w:tc>
          <w:tcPr>
            <w:tcW w:type="dxa" w:w="4320"/>
          </w:tcPr>
          <w:p>
            <w:r>
              <w:t>Localized shrinkage porosity; microporosity; suck-back porosity</w:t>
            </w:r>
          </w:p>
        </w:tc>
      </w:tr>
      <w:tr>
        <w:tc>
          <w:tcPr>
            <w:tcW w:type="dxa" w:w="4320"/>
          </w:tcPr>
          <w:p>
            <w:r>
              <w:t>II. Trapped gases</w:t>
            </w:r>
          </w:p>
        </w:tc>
        <w:tc>
          <w:tcPr>
            <w:tcW w:type="dxa" w:w="4320"/>
          </w:tcPr>
          <w:p>
            <w:r>
              <w:t>Pinhole porosity; gas inclusions; subsurface porosity; back-pressure porosity</w:t>
            </w:r>
          </w:p>
        </w:tc>
      </w:tr>
    </w:tbl>
    <w:p>
      <w:r>
        <w:rPr>
          <w:b/>
        </w:rPr>
        <w:t xml:space="preserve">The mechanism behind localized shrinkage porosity: </w:t>
      </w:r>
      <w:r>
        <w:t>noble metal alloys contract at least 1.25% linearly when moving from liquid to solid state during casting. Continual feeding of molten metal through the sprue must compensate for this shrinkage; if the sprue freezes in cross-section before that flow completes, a localized shrinkage void forms in the last portion of the casting to solidify — typically near the sprue-casting junction, but it can occur anywhere between dendrites if that is where solidification finishes last. Microporosity has the same underlying cause (solidification shrinkage) but appears as fine, irregular voids specifically in fine-grain alloy castings, distinguishable from the more spherical voids of gas inclusions and pinhole porosity. [1, p.220]</w:t>
      </w:r>
    </w:p>
    <w:p>
      <w:r>
        <w:rPr>
          <w:b/>
        </w:rPr>
        <w:t xml:space="preserve">Clinical stakes: </w:t>
      </w:r>
      <w:r>
        <w:t>porosity cannot be entirely prevented, only minimized through proper technique, and this matters clinically beyond just mechanical weakening — porous margins and surfaces can accumulate plaque at the tooth-restoration interface, raising the risk of secondary caries or periodontal disease in the adjacent tooth structure. Given that cast restorations are among dentistry's most durable and costly restorations, patients reasonably expect a high standard of manufacturing precision specifically to avoid this. [1, p.220]</w:t>
      </w:r>
    </w:p>
    <w:p>
      <w:r>
        <w:br w:type="page"/>
      </w:r>
    </w:p>
    <w:p>
      <w:pPr>
        <w:pStyle w:val="Heading1"/>
      </w:pPr>
      <w:r>
        <w:t>1.2.2 Color, Translucency &amp; Opacity</w:t>
      </w:r>
    </w:p>
    <w:p>
      <w:pPr>
        <w:pStyle w:val="Heading2"/>
      </w:pPr>
      <w:r>
        <w:t>Why Verbal Color Description Fails, and the Three-Dimension Solution</w:t>
      </w:r>
    </w:p>
    <w:p>
      <w:r>
        <w:t>Verbal color descriptions are demonstrably too imprecise for clinical use — Philips' illustrates this with the word "puce," which two major dictionaries define in mutually inconsistent, highly subjective terms. To escape this problem, color perception is instead described by three objective variables that together define a "color space": hue (the dominant wavelength — red, green, blue), value (the lightness/darkness, or gray-scale axis, independent of hue — a lemon's yellow is lighter/higher-value than a cherry's red), and chroma (the saturation or strength of a hue — scarlet is high-chroma red, pink is low-chroma red). [1, p.60]</w:t>
      </w:r>
    </w:p>
    <w:p>
      <w:r>
        <w:rPr>
          <w:b/>
        </w:rPr>
        <w:t xml:space="preserve">Real quantified example (CIE L*a*b* color space): </w:t>
      </w:r>
      <w:r>
        <w:t>a red apple's color is expressed as L* (value) = 42.83, a* (red-green axis) = 45.04, b* (yellow-blue axis) = 9.52. A dental body porcelain of shade A2, by direct comparison, measures a much higher (lighter) L* = 72.99, a much lower a* = 1.00, and a higher b* = 14.41 — a concrete demonstration of how far a natural high-chroma object's color coordinates sit from a typical tooth-shade porcelain's coordinates, and why shade-matching cannot rely on casual color comparison to unrelated colored objects. [1, p.61]</w:t>
      </w:r>
    </w:p>
    <w:p>
      <w:pPr>
        <w:pStyle w:val="Heading2"/>
      </w:pPr>
      <w:r>
        <w:t>The Physical Mechanism of Translucency and Opacity</w:t>
      </w:r>
    </w:p>
    <w:p>
      <w:r>
        <w:t>When visible-spectrum electromagnetic radiation strikes an object, it interacts through reflection from the surface, absorption, refraction, or transmission (passing through unchanged) — and it is this interaction pattern that determines whether the object reads as opaque, translucent, or transparent. Light reflected from a rough surface scatters in many directions (diffuse reflectance, the flat/dull look of chalk); light reflected from a smooth surface reflects at a consistent angle (specular reflectance, a mirror-like look). [1, p.60]</w:t>
      </w:r>
    </w:p>
    <w:p>
      <w:r>
        <w:rPr>
          <w:b/>
        </w:rPr>
        <w:t xml:space="preserve">A precise, quantified definition: </w:t>
      </w:r>
      <w:r>
        <w:t>opacity is related to the amount of light a material absorbs and/or scatters; translucency is its direct opposite. If a 1 mm thickness of Material A absorbs 20% of the light passing through it, and a 1 mm thickness of Material B absorbs 50%, Material A is by definition less opaque (more translucent) than Material B. Transparent materials sit at the far end of this same scale — they absorb no light and transmit 100% of what passes through. [1, p.60]</w:t>
      </w:r>
    </w:p>
    <w:p>
      <w:r>
        <w:rPr>
          <w:b/>
        </w:rPr>
        <w:t xml:space="preserve">The natural tooth as the clinical benchmark: </w:t>
      </w:r>
      <w:r>
        <w:t>enamel is itself a composite material — hydroxyapatite crystals in a protein matrix — and when light strikes it, some is reflected, some refracted, some absorbed, and some transmitted. Enamel's refractive index is 1.65, and it is translucent. (This is the same refractive-index framework used to explain wet/dry caries-lesion visibility in Module 1, Sub-Module 1.2 — there, enamel's refractive index of 1.66 was contrasted with water's 1.33 and air's 1.00; the very slight numeric variation between sources here reflects normal measurement/reference variation, not a contradiction.) Because any esthetic restorative material must optically approximate this same translucent, light-scattering behavior to blend convincingly with the surrounding tooth, translucency is not a cosmetic afterthought — it is the actual physical target the material must hit. [1, p.60]</w:t>
      </w:r>
    </w:p>
    <w:p>
      <w:pPr>
        <w:pStyle w:val="Heading2"/>
      </w:pPr>
      <w:r>
        <w:t>The Color Triplet — Light, Object, Observer (Goldstein's)</w:t>
      </w:r>
    </w:p>
    <w:p>
      <w:r>
        <w:t>Goldstein's frames color as a psychophysical sensation, not a fixed property of the object alone — it requires all three elements of a "color triplet": the light source, the object, and the observer. Visible light itself occupies only a narrow band of the full electromagnetic spectrum, roughly 380-760 nm. The object can reflect, transmit, or absorb incident light; what we actually see is the reflected light, either from the surface itself (surface reflection) or from within the body of a translucent material or tissue (volume reflection) — and tooth color matching is specifically a volume-reflection phenomenon, not a surface one, which is precisely why a restoration's internal translucency/opacity structure (not just its surface color) determines whether a shade match succeeds. [3, p.272]</w:t>
      </w:r>
    </w:p>
    <w:p>
      <w:r>
        <w:t>The observer component is itself variable: light reflected from an object stimulates rods (achromatic vision) and cones (red-, green-, and blue-sensitive, enabling color perception) in the retina, and humans vary meaningfully in their ability to distinguish colors — a clinically relevant source of shade-matching disagreement between different observers examining the same restoration. [3, p.272]</w:t>
      </w:r>
    </w:p>
    <w:p>
      <w:r>
        <w:br w:type="page"/>
      </w:r>
    </w:p>
    <w:p>
      <w:pPr>
        <w:pStyle w:val="Heading1"/>
      </w:pPr>
      <w:r>
        <w:t>1.2.3 Thermal Properties</w:t>
      </w:r>
    </w:p>
    <w:p>
      <w:pPr>
        <w:pStyle w:val="Heading2"/>
      </w:pPr>
      <w:r>
        <w:t>Thermal Conductivity — Metals vs. Nonmetals</w:t>
      </w:r>
    </w:p>
    <w:p>
      <w:r>
        <w:t>Thermal conductivity (K) values differ by roughly two orders of magnitude between metals and nonmetals used in dentistry: [2, p.58]</w:t>
      </w:r>
    </w:p>
    <w:tbl>
      <w:tblPr>
        <w:tblStyle w:val="LightGrid-Accent1"/>
        <w:tblW w:type="auto" w:w="0"/>
        <w:tblLook w:firstColumn="1" w:firstRow="1" w:lastColumn="0" w:lastRow="0" w:noHBand="0" w:noVBand="1" w:val="04A0"/>
      </w:tblPr>
      <w:tblGrid>
        <w:gridCol w:w="4320"/>
        <w:gridCol w:w="4320"/>
      </w:tblGrid>
      <w:tr>
        <w:tc>
          <w:tcPr>
            <w:tcW w:type="dxa" w:w="4320"/>
          </w:tcPr>
          <w:p>
            <w:r>
              <w:t>Material</w:t>
            </w:r>
          </w:p>
        </w:tc>
        <w:tc>
          <w:tcPr>
            <w:tcW w:type="dxa" w:w="4320"/>
          </w:tcPr>
          <w:p>
            <w:r>
              <w:t>Thermal conductivity (cal/s/cm2/(°C/cm))</w:t>
            </w:r>
          </w:p>
        </w:tc>
      </w:tr>
      <w:tr>
        <w:tc>
          <w:tcPr>
            <w:tcW w:type="dxa" w:w="4320"/>
          </w:tcPr>
          <w:p>
            <w:r>
              <w:t>Silver</w:t>
            </w:r>
          </w:p>
        </w:tc>
        <w:tc>
          <w:tcPr>
            <w:tcW w:type="dxa" w:w="4320"/>
          </w:tcPr>
          <w:p>
            <w:r>
              <w:t>1.006</w:t>
            </w:r>
          </w:p>
        </w:tc>
      </w:tr>
      <w:tr>
        <w:tc>
          <w:tcPr>
            <w:tcW w:type="dxa" w:w="4320"/>
          </w:tcPr>
          <w:p>
            <w:r>
              <w:t>Gold</w:t>
            </w:r>
          </w:p>
        </w:tc>
        <w:tc>
          <w:tcPr>
            <w:tcW w:type="dxa" w:w="4320"/>
          </w:tcPr>
          <w:p>
            <w:r>
              <w:t>0.710</w:t>
            </w:r>
          </w:p>
        </w:tc>
      </w:tr>
      <w:tr>
        <w:tc>
          <w:tcPr>
            <w:tcW w:type="dxa" w:w="4320"/>
          </w:tcPr>
          <w:p>
            <w:r>
              <w:t>Dental amalgam</w:t>
            </w:r>
          </w:p>
        </w:tc>
        <w:tc>
          <w:tcPr>
            <w:tcW w:type="dxa" w:w="4320"/>
          </w:tcPr>
          <w:p>
            <w:r>
              <w:t>0.055</w:t>
            </w:r>
          </w:p>
        </w:tc>
      </w:tr>
      <w:tr>
        <w:tc>
          <w:tcPr>
            <w:tcW w:type="dxa" w:w="4320"/>
          </w:tcPr>
          <w:p>
            <w:r>
              <w:t>Resin composite</w:t>
            </w:r>
          </w:p>
        </w:tc>
        <w:tc>
          <w:tcPr>
            <w:tcW w:type="dxa" w:w="4320"/>
          </w:tcPr>
          <w:p>
            <w:r>
              <w:t>0.0026</w:t>
            </w:r>
          </w:p>
        </w:tc>
      </w:tr>
      <w:tr>
        <w:tc>
          <w:tcPr>
            <w:tcW w:type="dxa" w:w="4320"/>
          </w:tcPr>
          <w:p>
            <w:r>
              <w:t>Porcelain</w:t>
            </w:r>
          </w:p>
        </w:tc>
        <w:tc>
          <w:tcPr>
            <w:tcW w:type="dxa" w:w="4320"/>
          </w:tcPr>
          <w:p>
            <w:r>
              <w:t>0.0025</w:t>
            </w:r>
          </w:p>
        </w:tc>
      </w:tr>
      <w:tr>
        <w:tc>
          <w:tcPr>
            <w:tcW w:type="dxa" w:w="4320"/>
          </w:tcPr>
          <w:p>
            <w:r>
              <w:t>Enamel</w:t>
            </w:r>
          </w:p>
        </w:tc>
        <w:tc>
          <w:tcPr>
            <w:tcW w:type="dxa" w:w="4320"/>
          </w:tcPr>
          <w:p>
            <w:r>
              <w:t>0.0022</w:t>
            </w:r>
          </w:p>
        </w:tc>
      </w:tr>
      <w:tr>
        <w:tc>
          <w:tcPr>
            <w:tcW w:type="dxa" w:w="4320"/>
          </w:tcPr>
          <w:p>
            <w:r>
              <w:t>Dentin</w:t>
            </w:r>
          </w:p>
        </w:tc>
        <w:tc>
          <w:tcPr>
            <w:tcW w:type="dxa" w:w="4320"/>
          </w:tcPr>
          <w:p>
            <w:r>
              <w:t>0.0015</w:t>
            </w:r>
          </w:p>
        </w:tc>
      </w:tr>
    </w:tbl>
    <w:p>
      <w:r>
        <w:t>Gold's conductivity (0.710) is roughly 470 times that of dentin (0.0015) — a huge disparity that is the direct physical basis for the outline's "thermal protection important for pulp" clinical concern: a deep metal restoration transmits a hot or cold stimulus to the pulp far more readily than tooth structure or a resin/ceramic restoration of the same thickness would. [2, p.58]</w:t>
      </w:r>
    </w:p>
    <w:p>
      <w:pPr>
        <w:pStyle w:val="Heading2"/>
      </w:pPr>
      <w:r>
        <w:t>A Second, Independent Thermal Conductivity Dataset (McCabe's)</w:t>
      </w:r>
    </w:p>
    <w:p>
      <w:r>
        <w:t>McCabe's gives its own measured thermal conductivity table, in different units (W m⁻¹ °C⁻¹) from Craig's cal/s/cm²/(°C/cm) table above — useful as an independent cross-check rather than a single-source figure: [4, p.30]</w:t>
      </w:r>
    </w:p>
    <w:tbl>
      <w:tblPr>
        <w:tblStyle w:val="LightGrid-Accent1"/>
        <w:tblW w:type="auto" w:w="0"/>
        <w:tblLook w:firstColumn="1" w:firstRow="1" w:lastColumn="0" w:lastRow="0" w:noHBand="0" w:noVBand="1" w:val="04A0"/>
      </w:tblPr>
      <w:tblGrid>
        <w:gridCol w:w="4320"/>
        <w:gridCol w:w="4320"/>
      </w:tblGrid>
      <w:tr>
        <w:tc>
          <w:tcPr>
            <w:tcW w:type="dxa" w:w="4320"/>
          </w:tcPr>
          <w:p>
            <w:r>
              <w:t>Material</w:t>
            </w:r>
          </w:p>
        </w:tc>
        <w:tc>
          <w:tcPr>
            <w:tcW w:type="dxa" w:w="4320"/>
          </w:tcPr>
          <w:p>
            <w:r>
              <w:t>Thermal conductivity (W m⁻¹ °C⁻¹)</w:t>
            </w:r>
          </w:p>
        </w:tc>
      </w:tr>
      <w:tr>
        <w:tc>
          <w:tcPr>
            <w:tcW w:type="dxa" w:w="4320"/>
          </w:tcPr>
          <w:p>
            <w:r>
              <w:t>Gold</w:t>
            </w:r>
          </w:p>
        </w:tc>
        <w:tc>
          <w:tcPr>
            <w:tcW w:type="dxa" w:w="4320"/>
          </w:tcPr>
          <w:p>
            <w:r>
              <w:t>291.70</w:t>
            </w:r>
          </w:p>
        </w:tc>
      </w:tr>
      <w:tr>
        <w:tc>
          <w:tcPr>
            <w:tcW w:type="dxa" w:w="4320"/>
          </w:tcPr>
          <w:p>
            <w:r>
              <w:t>Dental amalgam</w:t>
            </w:r>
          </w:p>
        </w:tc>
        <w:tc>
          <w:tcPr>
            <w:tcW w:type="dxa" w:w="4320"/>
          </w:tcPr>
          <w:p>
            <w:r>
              <w:t>23.02</w:t>
            </w:r>
          </w:p>
        </w:tc>
      </w:tr>
      <w:tr>
        <w:tc>
          <w:tcPr>
            <w:tcW w:type="dxa" w:w="4320"/>
          </w:tcPr>
          <w:p>
            <w:r>
              <w:t>Enamel</w:t>
            </w:r>
          </w:p>
        </w:tc>
        <w:tc>
          <w:tcPr>
            <w:tcW w:type="dxa" w:w="4320"/>
          </w:tcPr>
          <w:p>
            <w:r>
              <w:t>0.92</w:t>
            </w:r>
          </w:p>
        </w:tc>
      </w:tr>
      <w:tr>
        <w:tc>
          <w:tcPr>
            <w:tcW w:type="dxa" w:w="4320"/>
          </w:tcPr>
          <w:p>
            <w:r>
              <w:t>Dentine</w:t>
            </w:r>
          </w:p>
        </w:tc>
        <w:tc>
          <w:tcPr>
            <w:tcW w:type="dxa" w:w="4320"/>
          </w:tcPr>
          <w:p>
            <w:r>
              <w:t>0.63</w:t>
            </w:r>
          </w:p>
        </w:tc>
      </w:tr>
      <w:tr>
        <w:tc>
          <w:tcPr>
            <w:tcW w:type="dxa" w:w="4320"/>
          </w:tcPr>
          <w:p>
            <w:r>
              <w:t>Porcelain</w:t>
            </w:r>
          </w:p>
        </w:tc>
        <w:tc>
          <w:tcPr>
            <w:tcW w:type="dxa" w:w="4320"/>
          </w:tcPr>
          <w:p>
            <w:r>
              <w:t>1.05</w:t>
            </w:r>
          </w:p>
        </w:tc>
      </w:tr>
      <w:tr>
        <w:tc>
          <w:tcPr>
            <w:tcW w:type="dxa" w:w="4320"/>
          </w:tcPr>
          <w:p>
            <w:r>
              <w:t>Silicate materials</w:t>
            </w:r>
          </w:p>
        </w:tc>
        <w:tc>
          <w:tcPr>
            <w:tcW w:type="dxa" w:w="4320"/>
          </w:tcPr>
          <w:p>
            <w:r>
              <w:t>0.75</w:t>
            </w:r>
          </w:p>
        </w:tc>
      </w:tr>
      <w:tr>
        <w:tc>
          <w:tcPr>
            <w:tcW w:type="dxa" w:w="4320"/>
          </w:tcPr>
          <w:p>
            <w:r>
              <w:t>Zinc phosphate cement</w:t>
            </w:r>
          </w:p>
        </w:tc>
        <w:tc>
          <w:tcPr>
            <w:tcW w:type="dxa" w:w="4320"/>
          </w:tcPr>
          <w:p>
            <w:r>
              <w:t>1.17</w:t>
            </w:r>
          </w:p>
        </w:tc>
      </w:tr>
      <w:tr>
        <w:tc>
          <w:tcPr>
            <w:tcW w:type="dxa" w:w="4320"/>
          </w:tcPr>
          <w:p>
            <w:r>
              <w:t>Acrylic resin / Zinc oxide-eugenol cement</w:t>
            </w:r>
          </w:p>
        </w:tc>
        <w:tc>
          <w:tcPr>
            <w:tcW w:type="dxa" w:w="4320"/>
          </w:tcPr>
          <w:p>
            <w:r>
              <w:t>0.21 / 0.46</w:t>
            </w:r>
          </w:p>
        </w:tc>
      </w:tr>
    </w:tbl>
    <w:p>
      <w:r>
        <w:rPr>
          <w:b/>
        </w:rPr>
        <w:t xml:space="preserve">A direct clinical rationale this table makes explicit: </w:t>
      </w:r>
      <w:r>
        <w:t>dental amalgam's conductivity (23.02) is far too high to provide satisfactory pulpal insulation on its own — this is precisely why standard practice places a cavity base of a LOWER-conductivity cement, such as zinc phosphate (1.17), beneath a deep amalgam restoration specifically for thermal protection, not just for mechanical/chemical reasons. [4, p.30]</w:t>
      </w:r>
    </w:p>
    <w:p>
      <w:r>
        <w:rPr>
          <w:b/>
        </w:rPr>
        <w:t xml:space="preserve">Why diffusivity, not conductivity, is the more clinically relevant number (McCabe's framing): </w:t>
      </w:r>
      <w:r>
        <w:t>thermal conductivity is an equilibrium property, but most thermal stimuli encountered in the mouth (a cold drink, a hot sip) are transient, lasting only a second or two — so thermal diffusivity, which accounts for how much heat is absorbed in raising the material's OWN temperature before any heat is transmitted further, gives a more clinically realistic prediction of pulpal temperature change than conductivity alone. [4, p.30]</w:t>
      </w:r>
    </w:p>
    <w:p>
      <w:r>
        <w:rPr>
          <w:b/>
        </w:rPr>
        <w:t xml:space="preserve">How diffusivity is actually measured — a real method, not just a formula: </w:t>
      </w:r>
      <w:r>
        <w:t>a thermocouple is embedded in a specimen of the material, which is then plunged into a hot or cold liquid. If the thermocouple's recorded temperature rapidly reaches that of the liquid, this indicates HIGH diffusivity; a slow response indicates LOW diffusivity. A low diffusivity value is generally desirable for a restorative material specifically because it limits how much of a transient thermal stimulus actually reaches the pulp. [4, p.30]</w:t>
      </w:r>
    </w:p>
    <w:p>
      <w:pPr>
        <w:pStyle w:val="Heading2"/>
      </w:pPr>
      <w:r>
        <w:t>Thermal Diffusivity and Why It (Not Just Conductivity) Predicts Thermal Shock</w:t>
      </w:r>
    </w:p>
    <w:p>
      <w:r>
        <w:t>Thermal diffusivity (Δ) measures the rate of transient heat flow — how quickly a body with a nonuniform temperature reaches equilibrium — and is calculated as thermal conductivity divided by the product of specific heat and density: Δ = K/(Cp x ρ). This matters because conductivity alone does not fully predict clinical thermal shock risk: gold and amalgam combine LOW specific heat with HIGH thermal conductivity, and it is this specific combination — not conductivity in isolation — that creates thermal shock more readily than normal tooth structure does. Pure gold's calculated thermal diffusivity is 119.0 mm2/s, versus dentin's 0.183 mm2/s and enamel's 0.469 mm2/s — again roughly a 250-650-fold difference. [2, p.59]</w:t>
      </w:r>
    </w:p>
    <w:p>
      <w:pPr>
        <w:pStyle w:val="Heading2"/>
      </w:pPr>
      <w:r>
        <w:t>Coefficient of Thermal Expansion (CTE) — Definition and Real Comparative Data</w:t>
      </w:r>
    </w:p>
    <w:p>
      <w:r>
        <w:t>The linear coefficient of thermal expansion (α) is the change in length per unit length of a material for a 1°C temperature change: α = (l_final - l_original) / [l_original x (°C_final - °C_original)]. Values are small and conventionally expressed in exponential form (e.g. 22 x 10⁻⁶/°C) or equivalently in parts per million (22 ppm). [2, p.59]</w:t>
      </w:r>
    </w:p>
    <w:p>
      <w:r>
        <w:t>Real measured CTE values for restorative-dentistry-relevant materials: [2, p.60]</w:t>
      </w:r>
    </w:p>
    <w:tbl>
      <w:tblPr>
        <w:tblStyle w:val="LightGrid-Accent1"/>
        <w:tblW w:type="auto" w:w="0"/>
        <w:tblLook w:firstColumn="1" w:firstRow="1" w:lastColumn="0" w:lastRow="0" w:noHBand="0" w:noVBand="1" w:val="04A0"/>
      </w:tblPr>
      <w:tblGrid>
        <w:gridCol w:w="4320"/>
        <w:gridCol w:w="4320"/>
      </w:tblGrid>
      <w:tr>
        <w:tc>
          <w:tcPr>
            <w:tcW w:type="dxa" w:w="4320"/>
          </w:tcPr>
          <w:p>
            <w:r>
              <w:t>Material</w:t>
            </w:r>
          </w:p>
        </w:tc>
        <w:tc>
          <w:tcPr>
            <w:tcW w:type="dxa" w:w="4320"/>
          </w:tcPr>
          <w:p>
            <w:r>
              <w:t>CTE (x10⁻⁶/°C)</w:t>
            </w:r>
          </w:p>
        </w:tc>
      </w:tr>
      <w:tr>
        <w:tc>
          <w:tcPr>
            <w:tcW w:type="dxa" w:w="4320"/>
          </w:tcPr>
          <w:p>
            <w:r>
              <w:t>Resin composites (general)</w:t>
            </w:r>
          </w:p>
        </w:tc>
        <w:tc>
          <w:tcPr>
            <w:tcW w:type="dxa" w:w="4320"/>
          </w:tcPr>
          <w:p>
            <w:r>
              <w:t>14.50</w:t>
            </w:r>
          </w:p>
        </w:tc>
      </w:tr>
      <w:tr>
        <w:tc>
          <w:tcPr>
            <w:tcW w:type="dxa" w:w="4320"/>
          </w:tcPr>
          <w:p>
            <w:r>
              <w:t>Amalgam</w:t>
            </w:r>
          </w:p>
        </w:tc>
        <w:tc>
          <w:tcPr>
            <w:tcW w:type="dxa" w:w="4320"/>
          </w:tcPr>
          <w:p>
            <w:r>
              <w:t>22–28</w:t>
            </w:r>
          </w:p>
        </w:tc>
      </w:tr>
      <w:tr>
        <w:tc>
          <w:tcPr>
            <w:tcW w:type="dxa" w:w="4320"/>
          </w:tcPr>
          <w:p>
            <w:r>
              <w:t>Gold</w:t>
            </w:r>
          </w:p>
        </w:tc>
        <w:tc>
          <w:tcPr>
            <w:tcW w:type="dxa" w:w="4320"/>
          </w:tcPr>
          <w:p>
            <w:r>
              <w:t>14.4</w:t>
            </w:r>
          </w:p>
        </w:tc>
      </w:tr>
      <w:tr>
        <w:tc>
          <w:tcPr>
            <w:tcW w:type="dxa" w:w="4320"/>
          </w:tcPr>
          <w:p>
            <w:r>
              <w:t>Porcelain</w:t>
            </w:r>
          </w:p>
        </w:tc>
        <w:tc>
          <w:tcPr>
            <w:tcW w:type="dxa" w:w="4320"/>
          </w:tcPr>
          <w:p>
            <w:r>
              <w:t>12.0</w:t>
            </w:r>
          </w:p>
        </w:tc>
      </w:tr>
      <w:tr>
        <w:tc>
          <w:tcPr>
            <w:tcW w:type="dxa" w:w="4320"/>
          </w:tcPr>
          <w:p>
            <w:r>
              <w:t>Tooth, crown portion (enamel+dentin combined)</w:t>
            </w:r>
          </w:p>
        </w:tc>
        <w:tc>
          <w:tcPr>
            <w:tcW w:type="dxa" w:w="4320"/>
          </w:tcPr>
          <w:p>
            <w:r>
              <w:t>11.4</w:t>
            </w:r>
          </w:p>
        </w:tc>
      </w:tr>
      <w:tr>
        <w:tc>
          <w:tcPr>
            <w:tcW w:type="dxa" w:w="4320"/>
          </w:tcPr>
          <w:p>
            <w:r>
              <w:t>Glass ionomer (Type 2)</w:t>
            </w:r>
          </w:p>
        </w:tc>
        <w:tc>
          <w:tcPr>
            <w:tcW w:type="dxa" w:w="4320"/>
          </w:tcPr>
          <w:p>
            <w:r>
              <w:t>10.2–11.4</w:t>
            </w:r>
          </w:p>
        </w:tc>
      </w:tr>
      <w:tr>
        <w:tc>
          <w:tcPr>
            <w:tcW w:type="dxa" w:w="4320"/>
          </w:tcPr>
          <w:p>
            <w:r>
              <w:t>Dentin (measured separately, composite chapter)</w:t>
            </w:r>
          </w:p>
        </w:tc>
        <w:tc>
          <w:tcPr>
            <w:tcW w:type="dxa" w:w="4320"/>
          </w:tcPr>
          <w:p>
            <w:r>
              <w:t>8.3</w:t>
            </w:r>
          </w:p>
        </w:tc>
      </w:tr>
    </w:tbl>
    <w:p>
      <w:r>
        <w:rPr>
          <w:b/>
        </w:rPr>
        <w:t xml:space="preserve">Composite CTE is filler-dependent, not a fixed value: </w:t>
      </w:r>
      <w:r>
        <w:t>in a separate, composite-specific analysis, Craig's gives a wider and more granular range — 25 to 38 x10⁻⁶/°C for composites with fine filler particles, rising to 55 to 68 x10⁻⁶/°C for composites with microfine particles. Both values exceed both dentin (8.3) and enamel (11.4), and the higher CTE of microfilled composites specifically reflects their greater proportion of polymer matrix relative to filler — a mechanistic link back to Sub-Module 1.1's finding that polymer-based materials are largely noncrystalline and therefore behave differently on heating than the crystalline filler particles embedded in them. [2, p.148]</w:t>
      </w:r>
    </w:p>
    <w:p>
      <w:r>
        <w:rPr>
          <w:b/>
        </w:rPr>
        <w:t xml:space="preserve">Why gold's CTE (~14.4) matters clinically: </w:t>
      </w:r>
      <w:r>
        <w:t>it is close to tooth structure's combined CTE (11.4) — a small mismatch relative to composite's considerably higher values. Large CTE mismatches between a restoration and the surrounding tooth generate thermal stress at the interface on every hot/cold exposure, which can open a marginal gap and permit leakage; this is precisely why gold alloys have historically been favored for their thermal compatibility with tooth structure, independent of their mechanical or esthetic properties. [2, p.60]</w:t>
      </w:r>
    </w:p>
    <w:p>
      <w:r>
        <w:rPr>
          <w:b/>
        </w:rPr>
        <w:t xml:space="preserve">A polymer-specific wrinkle — CTE is not even constant for one material: </w:t>
      </w:r>
      <w:r>
        <w:t>a dental wax's CTE may average 300 x10⁻⁶/°C up to 40°C but jump to 500 x10⁻⁶/°C between 40-50°C — the coefficient changes as the polymer crosses its glass transition temperature (Tg, introduced in Sub-Module 1.1) from a rigid glassy state into a softer rubbery state. This is also why, practically, both linear and volumetric expansion matter for casting and restoration processes: on cooling, the same magnitude of contraction occurs as expansion did on heating, which is the direct cause of shrinkage spots and surface cracks seen in gold alloy castings during solidification unless properly compensated for. [2, p.60]</w:t>
      </w:r>
    </w:p>
    <w:p>
      <w:r>
        <w:br w:type="page"/>
      </w:r>
    </w:p>
    <w:p>
      <w:pPr>
        <w:pStyle w:val="Heading1"/>
      </w:pPr>
      <w:r>
        <w:t>1.2.4 Solubility &amp; Absorption</w:t>
      </w:r>
    </w:p>
    <w:p>
      <w:pPr>
        <w:pStyle w:val="Heading2"/>
      </w:pPr>
      <w:r>
        <w:t>Water Sorption — Filler-Dependent, Not a Fixed Material Constant</w:t>
      </w:r>
    </w:p>
    <w:p>
      <w:r>
        <w:t>Water sorption of resin composites is directly filler-dependent: composites with hybrid (larger) particles absorb only 5-17 μg/mm3, while composites with microfine particles absorb considerably more, 26-30 μg/mm3 — because the microfine composites contain a lower volume fraction of filler and a correspondingly higher volume fraction of polymer matrix (the same underlying structural logic that drove their higher CTE in Section 3 above). The quality and stability of the silane coupling agent bonding filler to matrix is itself an important variable in minimizing water sorption, since a degraded filler-matrix bond opens additional pathways for water uptake. [2, p.143]</w:t>
      </w:r>
    </w:p>
    <w:p>
      <w:r>
        <w:rPr>
          <w:b/>
        </w:rPr>
        <w:t xml:space="preserve">Hygroscopic expansion — a slow process relative to shrinkage: </w:t>
      </w:r>
      <w:r>
        <w:t>water uptake from oral fluids causes a composite to expand, which could in principle relieve some polymerization shrinkage stress — but this expansion is a genuinely slow process compared to the rapid onset of polymerization shrinkage stress, so it cannot be relied on as an immediate stress-relief mechanism. Measured from 15 minutes after initial polymerization, most resins take about 4 days to show the majority of their hygroscopic expansion and a full 7 days to reach equilibrium. [2, p.143]</w:t>
      </w:r>
    </w:p>
    <w:p>
      <w:pPr>
        <w:pStyle w:val="Heading2"/>
      </w:pPr>
      <w:r>
        <w:t>Solubility — Real Values and the Link to Inadequate Cure</w:t>
      </w:r>
    </w:p>
    <w:p>
      <w:r>
        <w:t>Water solubility of composites ranges from 0.25 to 2.5 mg/mm3. Critically, solubility and sorption are not independent of the curing process: inadequate light intensity or duration — particularly affecting deeper regions of a bulk restoration furthest from the light source — produces insufficiently polymerized composite, and under-polymerized composite shows BOTH greater water sorption AND greater solubility than a properly cured equivalent, sometimes manifesting clinically as early color instability. This directly links back to the light-curing depth-of-cure concerns already covered in Module 1's composite-placement sub-modules — solubility is not only a chemistry property, it is also a quality-control indicator of the placement technique itself. [2, p.143]</w:t>
      </w:r>
    </w:p>
    <w:p>
      <w:pPr>
        <w:pStyle w:val="Heading2"/>
      </w:pPr>
      <w:r>
        <w:t>Ion Leaching — A Quantified Breakdown Mechanism</w:t>
      </w:r>
    </w:p>
    <w:p>
      <w:r>
        <w:t>During water storage, microhybrid composites measurably leach inorganic ions, and this leaching is directly associated with breakdown of the filler-matrix interfacial bond (not merely a cosmetic or trivial loss). Silicon leaches in the greatest quantity — 15-17 μg/mL — during the first 30 days of water storage, then decreases with further exposure time. Microfilled composites leach silicon more slowly initially but show a 100% increase in leached amount during the second 30-day period (14.2 μg/mL) — meaning the two composite types have genuinely different leaching TIME COURSES, not just different total amounts. Boron, barium, and strontium (present in glass fillers) are also leached, in the range of 6-19 μg/mL depending on the specific resin-filler system. This breakdown and associated leakage is a contributing factor to reduced wear and abrasion resistance in composites over time — connecting solubility/absorption directly to the mechanical wear properties covered later in this sub-module's outline (Sub-Module 1.3). [2, p.144]</w:t>
      </w:r>
    </w:p>
    <w:p>
      <w:r>
        <w:br w:type="page"/>
      </w:r>
    </w:p>
    <w:p>
      <w:pPr>
        <w:pStyle w:val="Heading2"/>
      </w:pPr>
      <w:r>
        <w:t>Solubility and Sorption — A Broader Framework, With an Honest Lab-vs-Clinical Caveat (Powers &amp; Wataha)</w:t>
      </w:r>
    </w:p>
    <w:p>
      <w:r>
        <w:t>Solubility and sorption (adsorption plus absorption) of oral fluids are important selection criteria for any dental material — but laboratory studies typically evaluate materials in DISTILLED water, and these results can be genuinely inconsistent with clinical observation, because a material in the mouth is covered with plaque and exposed to a range of acids and organic compounds that distilled water simply doesn't reproduce. [5, p.16]</w:t>
      </w:r>
    </w:p>
    <w:p>
      <w:r>
        <w:rPr>
          <w:b/>
        </w:rPr>
        <w:t xml:space="preserve">A real, named example of this discrepancy: </w:t>
      </w:r>
      <w:r>
        <w:t>zinc phosphate cement is considerably MORE soluble in the mouth than laboratory water-immersion tests would suggest — and the clinical loss of a zinc phosphate cement retaining a gold crown results from dissolution followed by, and accompanied by, outright disintegration, a more severe failure mode than simple gradual dissolution alone. [5, p.16]</w:t>
      </w:r>
    </w:p>
    <w:p>
      <w:r>
        <w:rPr>
          <w:b/>
        </w:rPr>
        <w:t xml:space="preserve">The honest resolution — lab data still has real value, just not absolute value: </w:t>
      </w:r>
      <w:r>
        <w:t>despite this mouth-vs-lab-water gap, laboratory tests USUALLY rank materials correctly relative to one another — so the comparative RANKING between materials from lab solubility data remains trustworthy, even when the absolute magnitude of a given number should be treated with some skepticism when predicting real clinical performance. [5, p.16]</w:t>
      </w:r>
    </w:p>
    <w:p>
      <w:r>
        <w:rPr>
          <w:b/>
        </w:rPr>
        <w:t xml:space="preserve">Absorption vs. adsorption — a precise distinction worth keeping separate: </w:t>
      </w:r>
      <w:r>
        <w:t>absorption refers to the uptake of liquid into the BULK of a solid — the equilibrium water absorption of acrylic polymers is around 2%, a real number directly relevant to the denture-base PMMA chemistry covered in this module's Sub-Module 2.3. Adsorption, by contrast, refers to molecules concentrating at the SURFACE of a solid or liquid — the adsorption of saliva components onto the surface of tooth structure, or a detergent adsorbing onto the surface of a wax pattern, are the given dental examples. These are genuinely different physical processes despite the similar names, and conflating them is a common source of imprecision. [5, p.16]</w:t>
      </w:r>
    </w:p>
    <w:p>
      <w:pPr>
        <w:pStyle w:val="Heading2"/>
      </w:pPr>
      <w:r>
        <w:t>Wettability and Contact Angle — Where It Matters Clinically</w:t>
      </w:r>
    </w:p>
    <w:p>
      <w:r>
        <w:t>Wettability is a measure of a liquid's affinity for a solid, observable directly from how a drop of that liquid spreads (or doesn't) on the solid's surface — quantified by the contact angle, θ. A LOW contact angle means the liquid wets the solid readily; a contact angle greater than 90° means poor wetting. [5, p.17]</w:t>
      </w:r>
    </w:p>
    <w:p>
      <w:r>
        <w:rPr>
          <w:b/>
        </w:rPr>
        <w:t xml:space="preserve">Four real dental situations where wettability is a genuine practical concern, not an abstract property: </w:t>
      </w:r>
      <w:r>
        <w:t>the wetting of denture base acrylic by saliva (affecting comfort and retention), the wetting of tooth enamel by pit-and-fissure sealants (affecting how completely the sealant penetrates the etched surface), the wetting of elastomeric impressions by the water-based gypsum mix poured into them (affecting cast accuracy), and the wetting of wax patterns by dental investment material (affecting casting accuracy). In every one of these cases, poor wetting translates directly into a real, visible clinical or laboratory defect — not just a suboptimal number on a data sheet. [5, p.17]</w:t>
      </w:r>
    </w:p>
    <w:p>
      <w:pPr>
        <w:pStyle w:val="Heading2"/>
      </w:pPr>
      <w:r>
        <w:t>Capillary Phenomena — Sealant Penetration and Denture Retention (Restorative Dental Materials, Michigan)</w:t>
      </w:r>
    </w:p>
    <w:p>
      <w:r>
        <w:t>Wettability (Section above) has a direct, quantifiable clinical application in pit-and-fissure sealants: the penetration coefficient of a sealant — a real, measurable property — has been shown to range from 0.6 to 12 cm/sec across different products. A narrow occlusal fissure can be filled almost completely only if the penetration coefficient is at least 1.30 cm/sec, and only when the sealant is applied at one edge of the fissure and allowed to flow across to the other — painting the sealant directly over the occlusal surface instead traps air within the fissure, blocking penetration beyond a certain depth regardless of how favorable the material's own penetration coefficient is. This is a genuine material-property threshold with a directly observable clinical consequence (complete vs. incomplete fissure sealing), not just an abstract number. [6, p.29]</w:t>
      </w:r>
    </w:p>
    <w:p>
      <w:r>
        <w:rPr>
          <w:b/>
        </w:rPr>
        <w:t xml:space="preserve">Isolated capillaries — a distinct mechanism contributing to denture retention: </w:t>
      </w:r>
      <w:r>
        <w:t>beyond simple surface tension/wetting, a thin film of saliva trapped between a denture base and the mucosa can generate genuine adhesive retention through an "isolated capillary" mechanism — a negative differential pressure develops specifically when the saliva film is ISOLATED at the denture's periphery (not connected to a larger saliva reservoir beyond the denture border). If the film IS connected to a reservoir beyond the denture edge, this negative pressure does not develop, and the retentive contribution is lost. The viscosity of the saliva film itself still offers some resistance to separation regardless, but the isolated-capillary pressure effect is a real, separate, and clinically significant contributor to denture retention beyond viscosity alone. [6, p.31]</w:t>
      </w:r>
    </w:p>
    <w:p>
      <w:pPr>
        <w:pStyle w:val="Heading2"/>
      </w:pPr>
      <w:r>
        <w:t>Metamerism and Thermal Shock — Two Worked Clinical Problems (Restorative Dental Materials, Michigan)</w:t>
      </w:r>
    </w:p>
    <w:p>
      <w:r>
        <w:rPr>
          <w:b/>
        </w:rPr>
        <w:t xml:space="preserve">Metamerism — why the same shade can look right in one light and wrong in another: </w:t>
      </w:r>
      <w:r>
        <w:t>a real worked clinical problem illustrates this directly: a ceramic veneer matches the shade guide perfectly but does not match the adjacent natural tooth. The cause is metamerism — two colors that match under one light source can appear DIFFERENT under another light source with a different spectral composition. The practical fix is procedural, not material: shade-match teeth and shade guides under the SAME, appropriate lighting conditions consistently, since the mismatch is a property of the light-color interaction, not a flaw in the restoration itself. [6, p.62]</w:t>
      </w:r>
    </w:p>
    <w:p>
      <w:r>
        <w:rPr>
          <w:b/>
        </w:rPr>
        <w:t xml:space="preserve">Ceramic glaze cracking — a direct application of the thermal-diffusivity content already covered above: </w:t>
      </w:r>
      <w:r>
        <w:t>a second worked problem: a glaze applied to a ceramic restoration cracks on cooling. The cause is ceramics' inherently LOW thermal diffusivity (already established in this sub-module's Thermal Properties section) combined with too-rapid cooling — creating a thermal gradient steep enough to crack the glaze layer. The fix is procedural: cool the ceramic restoration exactly as the manufacturer recommends, specifically to minimize large thermal gradients, rather than assuming any cooling rate is acceptable. [6, p.62]</w:t>
      </w:r>
    </w:p>
    <w:p>
      <w:r>
        <w:rPr>
          <w:b/>
        </w:rPr>
        <w:t xml:space="preserve">Denture distortion from hot water — a direct application of the glass transition temperature already covered in Sub-Module 1.1/1.3: </w:t>
      </w:r>
      <w:r>
        <w:t>a third worked problem: a denture cleaned in hot water distorts and no longer fits. The cause is that the cleaning water's temperature exceeded the denture resin's glass transition temperature (Tg) — once past Tg, the material readily deforms under even modest handling stress, exactly as this module's earlier Tg content would predict. The fix: always use COOL water to clean a denture, never hot. This is a clean, concrete illustration of why Tg is not merely an abstract materials-science number — it directly sets a real-world temperature ceiling for safe denture handling. [6, p.62]</w:t>
      </w:r>
    </w:p>
    <w:p>
      <w:pPr>
        <w:pStyle w:val="Heading1"/>
      </w:pPr>
      <w:r>
        <w:t>References</w:t>
      </w:r>
    </w:p>
    <w:p>
      <w:r>
        <w:t>1. Anusavice KJ, Shen C, Rawls HR, eds. Philips' Science of Dental Materials. 13th ed. St. Louis: Elsevier; 2013.</w:t>
      </w:r>
    </w:p>
    <w:p>
      <w:r>
        <w:t>2. Sakaguchi RL, Ferracane JL, Powers JM. Craig's Restorative Dental Materials. 14th ed. St. Louis: Elsevier; 2019.</w:t>
      </w:r>
    </w:p>
    <w:p>
      <w:r>
        <w:t>3. Goldstein RE, ed. Esthetics in Dentistry. 3rd ed. Hoboken: Wiley-Blackwell.</w:t>
      </w:r>
    </w:p>
    <w:p>
      <w:r>
        <w:t>4. McCabe JF, Walls AWG. Applied Dental Materials. 9th ed. Oxford: Blackwell Publishing; 2008.</w:t>
      </w:r>
    </w:p>
    <w:p>
      <w:r>
        <w:t>5. Powers JM, Wataha JC. Dental Materials: Properties and Manipulation. 10th ed. St. Louis: Elsevier Mosby; 2013.</w:t>
      </w:r>
    </w:p>
    <w:p>
      <w:r>
        <w:t>6. Craig RG, ed. Restorative Dental Materials. 11th ed. St. Louis: Mosby;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