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2.1: Metals &amp; Alloys</w:t>
      </w:r>
    </w:p>
    <w:p>
      <w:r>
        <w:t>Module 3: Dental Materials &amp; Material Science | Sub-Module 2.1</w:t>
      </w:r>
    </w:p>
    <w:p/>
    <w:p>
      <w:pPr>
        <w:pStyle w:val="Heading2"/>
      </w:pPr>
      <w:r>
        <w:t>Note on Sources</w:t>
      </w:r>
    </w:p>
    <w:p>
      <w:r>
        <w:t xml:space="preserve">Sources used in this document: </w:t>
      </w:r>
      <w:r>
        <w:t>[1] Craig's Restorative Dental Materials (14th ed.) — primary source; its metals chapter (Ch.10) and biocompatibility chapter (Ch.6) cover pure metals, alloy composition, galvanism, and metal-specific hypersensitivity in exhaustive, quantified detail; [2] Philips' Science of Dental Materials (13th ed.) — used for the Gell &amp; Coombs hypersensitivity-reaction classification (Types I-V) and the nickel/palladium cross-reactivity data.</w:t>
      </w:r>
      <w:r>
        <w:t xml:space="preserve"> [3] McCabe JF, Walls AWG. Applied Dental Materials (9th ed.) — the osseointegration mechanism for titanium implants, implant-specific grain-structure engineering, and a dental-technician occupational palladium-exposure note, none previously covered.</w:t>
      </w:r>
      <w:r>
        <w:t xml:space="preserve"> [4] van Noort R, Barbour M. Introduction to Dental Materials (4th ed.) — the anode/cathode mechanism of galvanic corrosion, a real galvanic series table, crevice corrosion as a distinct corrosion type, and the internal γ1/γ2 galvanic cell within set dental amalgam.</w:t>
      </w:r>
      <w:r>
        <w:t xml:space="preserve"> [5] Powers JM, Wataha JC. Dental Materials: Properties and Manipulation (10th ed.) — the clinically important tarnish-vs-corrosion severity distinction, not previously drawn this precisely.</w:t>
      </w:r>
      <w:r>
        <w:t xml:space="preserve"> [6] Craig RG, ed. Restorative Dental Materials (11th ed., University of Michigan). A fifth new textbook the user supplied — the foundational phase-diagram science (liquidus/solidus, solid solution/eutectic/intermetallic alloy systems) that explains WHY alloys behave the way this sub-module and Module 1's amalgam content already describe, not previously covered explicitly.</w:t>
      </w:r>
    </w:p>
    <w:p>
      <w:r>
        <w:t xml:space="preserve">Per the standing skill rule, every extracted textbook was grepped for this sub-module's key terms (titanium, nickel-chromium, cobalt-chromium, galvanism, nickel allergy/sensitivity, high-noble, base metal alloy, hypersensitivity) before finalizing sources. </w:t>
      </w:r>
      <w:r>
        <w:t>McCabe's, Sturdevant's, Summitt's, Marzouk's, and Sikri's all returned hits but were checked and found to be either clinical-application-specific alloy content already covered in Module 1's Sub-Module 5.2 (Indirect Restoration Materials), or fully redundant with the fundamentals-level classification/biocompatibility treatment Craig's/Philips' already provide here.</w:t>
      </w:r>
    </w:p>
    <w:p>
      <w:r>
        <w:rPr>
          <w:b/>
        </w:rPr>
        <w:t xml:space="preserve">Fourth revision note: </w:t>
      </w:r>
      <w:r>
        <w:t>the user supplied a fifth new textbook, Restorative Dental Materials (Craig, ed., 11th ed., University of Michigan) — an older, distinct multi-author Craig text, not the same as the 14th-edition Craig's already used throughout this module. It gives the actual phase-diagram science underlying alloy formation — a genuine fundamentals gap, since this sub-module (and Module 1's amalgam content) has repeatedly referenced concepts like the gamma phase (Ag3Sn) and ordered/random gold-copper lattices without ever explaining the phase-diagram mechanism that produces them. Added below as a new Section 2.1.2, before the existing (renumbered) alloy-classification cross-reference.</w:t>
      </w:r>
    </w:p>
    <w:p>
      <w:r>
        <w:rPr>
          <w:b/>
        </w:rPr>
        <w:t xml:space="preserve">Third revision note: </w:t>
      </w:r>
      <w:r>
        <w:t>the user supplied a fourth new textbook, Dental Materials: Properties and Manipulation (Powers &amp; Wataha, 10th ed.), once OCR'd. It draws a genuinely important severity distinction between tarnish and corrosion that the existing galvanism/ion-release content did not make explicit. Added below.</w:t>
      </w:r>
    </w:p>
    <w:p>
      <w:r>
        <w:rPr>
          <w:b/>
        </w:rPr>
        <w:t xml:space="preserve">Second revision note: </w:t>
      </w:r>
      <w:r>
        <w:t>the user supplied additional textbooks including van Noort's Introduction to Dental Materials. It gives a real anode/cathode mechanistic account of galvanic corrosion (distinct from the pain-threshold/galvanic-series-by-alloy data already covered from Craig's), a genuinely different galvanic series (ranked by general metal reactivity rather than dental-alloy-specific voltages), crevice corrosion as a related but distinct corrosion type, and — a strong cross-reference find — the internal galvanic cell that exists between the γ1 and γ2 phases WITHIN a single set dental amalgam restoration. Added below.</w:t>
      </w:r>
    </w:p>
    <w:p>
      <w:r>
        <w:rPr>
          <w:b/>
        </w:rPr>
        <w:t xml:space="preserve">Revision note: </w:t>
      </w:r>
      <w:r>
        <w:t>the user asked whether McCabe's — on the standing Module 3 secondary source list — had been checked for this sub-module; it had not been. It has genuinely new content on WHY titanium specifically enables implant success (the osseointegration/ankylosis mechanism, distinct from the natural tooth's periodontal-ligament "suspension"), implant-specific alloy processing, and a dental-technician-specific palladium exposure risk. Added below.</w:t>
      </w:r>
    </w:p>
    <w:p>
      <w:r>
        <w:rPr>
          <w:b/>
        </w:rPr>
        <w:t xml:space="preserve">Cross-reference note: </w:t>
      </w:r>
      <w:r>
        <w:t>this sub-module deliberately does not repeat the ADA compositional/mechanical alloy classification (high noble/noble/base-metal groups; Type I-IV) or the exact gold-alloy composition tables already built in Module 1, Sub-Module 5.2 (Indirect Restoration Materials). That content stands and is cross-referenced rather than reproduced. This sub-module instead adds what 5.2 did not cover: pure-metal properties in isolation (titanium, platinum, palladium), the galvanism mechanism with real electrode-potential and threshold-current data, and a full biocompatibility/hypersensitivity treatment (Gell &amp; Coombs classification, nickel/palladium cross-reactivity, beryllium toxicity).</w:t>
      </w:r>
    </w:p>
    <w:p>
      <w:r>
        <w:br w:type="page"/>
      </w:r>
    </w:p>
    <w:p>
      <w:pPr>
        <w:pStyle w:val="Heading1"/>
      </w:pPr>
      <w:r>
        <w:t>2.1.1 Pure Metals in Dentistry</w:t>
      </w:r>
    </w:p>
    <w:p>
      <w:pPr>
        <w:pStyle w:val="Heading2"/>
      </w:pPr>
      <w:r>
        <w:t>Gold</w:t>
      </w:r>
    </w:p>
    <w:p>
      <w:r>
        <w:t>Pure gold can itself be used as a direct-filling restorative material — a genuinely distinct clinical use-case from cast gold alloys (already covered in Module 1, Sub-Module 5.2), since it involves cold-welding compacted pure gold directly into a cavity rather than casting an alloy. This technique's real theoretical-vs-apparent-density gap (pure gold 19.3 g/cm3 vs. compacted apparent density often under 16 g/cm3) was already covered in this module's Sub-Module 1.2 as the worked example for porosity. [2, p.388]</w:t>
      </w:r>
    </w:p>
    <w:p>
      <w:pPr>
        <w:pStyle w:val="Heading2"/>
      </w:pPr>
      <w:r>
        <w:t>Platinum</w:t>
      </w:r>
    </w:p>
    <w:p>
      <w:r>
        <w:t>Platinum is a bluish-white metal — tough, ductile, and malleable, producible as foil or fine-drawn wire — with a hardness similar to copper's. Its high fusing point and resistance to both oral conditions and elevated temperatures give pure platinum numerous dental applications despite its cost. Alloyed into gold-based systems (up to 8% platinum combined with other metals), it increases both hardness and elastic properties, and it tends to lighten the color of a yellow gold-based alloy — a genuine trade-off, since this same lightening effect is part of why some cast alloys shift toward white rather than yellow gold appearance as platinum content rises. [1, p.182]</w:t>
      </w:r>
    </w:p>
    <w:p>
      <w:pPr>
        <w:pStyle w:val="Heading2"/>
      </w:pPr>
      <w:r>
        <w:t>Titanium</w:t>
      </w:r>
    </w:p>
    <w:p>
      <w:r>
        <w:t>Titanium forms an extraordinarily stable oxide layer — only angstroms thick, yet it repassivates (re-forms after being scratched or abraded) in a time on the order of nanoseconds (10⁻⁹ second). This near-instantaneous self-repair is the direct physical basis for titanium's corrosion resistance and biocompatibility, and is why Craig's calls titanium "the material of choice" in dentistry on biocompatibility grounds. Commercially pure titanium (CP Ti) is used for dental implants, surface coatings, crowns, removable partial denture frameworks, and orthodontic wires. [1, p.189]</w:t>
      </w:r>
    </w:p>
    <w:p>
      <w:r>
        <w:rPr>
          <w:b/>
        </w:rPr>
        <w:t xml:space="preserve">CP Ti grades — a small compositional difference with a large property effect: </w:t>
      </w:r>
      <w:r>
        <w:t>CP Ti comes in four grades, distinguished only by oxygen content (0.18-0.40 wt%) and iron content (0.20-0.50 wt%) — seemingly minor variations that nonetheless substantially affect physical and mechanical properties. At room temperature CP Ti has a hexagonal close-packed lattice (the alpha/α phase, the same lattice type flagged as dentally relevant back in Sub-Module 1.1); on heating past 883°C, it transforms to a body-centered cubic beta (β) phase, which is stronger but more brittle than the α-phase structure. [1, p.189]</w:t>
      </w:r>
    </w:p>
    <w:p>
      <w:r>
        <w:rPr>
          <w:b/>
        </w:rPr>
        <w:t xml:space="preserve">Real mechanical values: </w:t>
      </w:r>
      <w:r>
        <w:t>CP Ti's density (4.5 g/cm3) and elastic modulus (100 GPa) are both about half the value of many other base metals used in dentistry. Yield strength ranges 170-480 MPa and ultimate strength 240-550 MPa, depending on the specific CP grade. [1, p.189]</w:t>
      </w:r>
    </w:p>
    <w:p>
      <w:r>
        <w:rPr>
          <w:b/>
        </w:rPr>
        <w:t xml:space="preserve">Titanium alloys — Ti-6Al-4V: </w:t>
      </w:r>
      <w:r>
        <w:t>the most widely used titanium alloy in dentistry, where aluminum acts as an alpha-phase stabilizer while vanadium (along with copper and palladium in other systems) acts as a beta-phase stabilizer. Alpha-titanium is weldable but difficult to work at room temperature; beta-titanium is malleable at room temperature and is therefore the form used for orthodontic wires — meaning the CHOICE between alpha- and beta-dominant titanium is a direct, deliberate engineering decision based on which fabrication process (welding a fixed framework vs. bending a wire) the specific dental application requires. [1, p.189]</w:t>
      </w:r>
    </w:p>
    <w:p>
      <w:r>
        <w:br w:type="page"/>
      </w:r>
    </w:p>
    <w:p>
      <w:pPr>
        <w:pStyle w:val="Heading2"/>
      </w:pPr>
      <w:r>
        <w:t>Titanium Implants — Why Osseointegration Actually Works (McCabe's)</w:t>
      </w:r>
    </w:p>
    <w:p>
      <w:r>
        <w:t>Modern implantology is only possible because of the biocompatibility of commercially pure (CP) titanium or a Ti-6Al-4V alloy — the majority of commercial implants use CP titanium specifically. [3, p.87]</w:t>
      </w:r>
    </w:p>
    <w:p>
      <w:r>
        <w:rPr>
          <w:b/>
        </w:rPr>
        <w:t xml:space="preserve">The mechanical distinction that matters clinically — ankylosis vs. the periodontal ligament's "suspension": </w:t>
      </w:r>
      <w:r>
        <w:t>a natural tooth is effectively suspended independently within its socket, supported by the periodontal ligament — a resilient, mobile attachment. A titanium implant integrated into bone is, by contrast, essentially ANKYLOSED (rigidly fused) to the surrounding bone, with close direct apposition of bone to the implant surface and no equivalent periodontal-ligament-style mobility. [3, p.87]</w:t>
      </w:r>
    </w:p>
    <w:p>
      <w:r>
        <w:rPr>
          <w:b/>
        </w:rPr>
        <w:t xml:space="preserve">Why this mechanical difference has a direct prosthodontic consequence: </w:t>
      </w:r>
      <w:r>
        <w:t>this can lead to real complications if a restorative structure is supported PARTIALLY by natural teeth and partially by implants — the rigidly-fixed implant and the resiliently-suspended tooth respond differently to the same occlusal load, creating an uneven load-distribution problem. This specific mixed-support scenario should be avoided where possible. [3, p.87]</w:t>
      </w:r>
    </w:p>
    <w:p>
      <w:r>
        <w:rPr>
          <w:b/>
        </w:rPr>
        <w:t xml:space="preserve">Implant-specific alloy processing: </w:t>
      </w:r>
      <w:r>
        <w:t>titanium used for implants can be heat-treated post-manufacture specifically to optimize its grain configuration — targeting a microstructure with a small alpha grain size of less than 20 μm and a well-dispersed beta phase with a small alpha-beta interfacial zone. This specific microstructure is best able to resist cyclical fatigue and crack propagation — a direct, practical application of the grain-size-vs-hardness/fatigue-resistance principle already established in this module's Sub-Module 1.1. [3, p.88]</w:t>
      </w:r>
    </w:p>
    <w:p>
      <w:r>
        <w:rPr>
          <w:b/>
        </w:rPr>
        <w:t xml:space="preserve">Surface-modification evidence — real, and mixed: </w:t>
      </w:r>
      <w:r>
        <w:t>numerous approaches have been tried to improve bone/epithelium attachment to the implant surface. Bioactive-glass-coated implants showed good INITIAL success, but a real problem emerged with breakdown specifically at the ceramic-metal bond, causing premature fixture failure — an honest negative finding, not a settled success story. Current evidence favors THREADED fixtures over smooth-surface implants (likely because threading gives greater initial mechanical stability in bone, promoting better integration), and favors a TEXTURED titanium surface for improving both short- and long-term fixture stability. [3, p.88]</w:t>
      </w:r>
    </w:p>
    <w:p>
      <w:pPr>
        <w:pStyle w:val="Heading1"/>
      </w:pPr>
      <w:r>
        <w:t>Phase Diagrams — The Foundational Science Behind Alloy Behavior (Restorative Dental Materials, Michigan)</w:t>
      </w:r>
    </w:p>
    <w:p>
      <w:r>
        <w:t>A phase diagram maps, for every composition and temperature, which phase(s) — liquid, solid, or a mixture of both — an alloy system exists in. Above the LIQUIDUS line, an alloy is entirely liquid; below the SOLIDUS line, it is entirely solid; between the two lines, liquid and solid coexist in equilibrium. [6, p.170]</w:t>
      </w:r>
    </w:p>
    <w:p>
      <w:r>
        <w:rPr>
          <w:b/>
        </w:rPr>
        <w:t xml:space="preserve">Why alloys have a MELTING RANGE, not a single melting point — directly explaining an assumption used earlier in this document: </w:t>
      </w:r>
      <w:r>
        <w:t>a pure metal has one single melting point. An ALLOY, at compositions between the two pure end-members, instead has a melting RANGE — the temperature difference between its liquidus and its solidus at that specific composition. This is the direct mechanistic reason gold-alloy heat treatment (already covered above from Powers &amp; Wataha, "heating to within 100°C of the molten form") is described as a RANGE rather than a fixed temperature — that range IS the composition's liquidus-solidus gap. [6, p.170]</w:t>
      </w:r>
    </w:p>
    <w:p>
      <w:r>
        <w:rPr>
          <w:b/>
        </w:rPr>
        <w:t xml:space="preserve">Reading a phase diagram — the tie-line method: </w:t>
      </w:r>
      <w:r>
        <w:t>at any given temperature between the liquidus and solidus, drawing a horizontal line across to each boundary and then down to the composition axis reveals the actual composition of the liquid phase (at the liquidus intersection) and the solid phase (at the solidus intersection) coexisting at that temperature — meaning a single overall alloy composition can have a liquid phase and a solid phase that are each compositionally DIFFERENT from the starting alloy and from each other, at any given point during solidification. [6, p.170]</w:t>
      </w:r>
    </w:p>
    <w:p>
      <w:pPr>
        <w:pStyle w:val="Heading2"/>
      </w:pPr>
      <w:r>
        <w:t>Three Possible Outcomes When Metals Are Mixed Together</w:t>
      </w:r>
    </w:p>
    <w:p>
      <w:r>
        <w:t>When two metals are melted together and then cooled, three genuinely different structural outcomes are possible, depending on how soluble the metals are in each other: [6, p.171]</w:t>
      </w:r>
    </w:p>
    <w:tbl>
      <w:tblPr>
        <w:tblStyle w:val="LightGrid-Accent1"/>
        <w:tblW w:type="auto" w:w="0"/>
        <w:tblLook w:firstColumn="1" w:firstRow="1" w:lastColumn="0" w:lastRow="0" w:noHBand="0" w:noVBand="1" w:val="04A0"/>
      </w:tblPr>
      <w:tblGrid>
        <w:gridCol w:w="4320"/>
        <w:gridCol w:w="4320"/>
      </w:tblGrid>
      <w:tr>
        <w:tc>
          <w:tcPr>
            <w:tcW w:type="dxa" w:w="4320"/>
          </w:tcPr>
          <w:p>
            <w:r>
              <w:t>Outcome</w:t>
            </w:r>
          </w:p>
        </w:tc>
        <w:tc>
          <w:tcPr>
            <w:tcW w:type="dxa" w:w="4320"/>
          </w:tcPr>
          <w:p>
            <w:r>
              <w:t>What happens / dental example</w:t>
            </w:r>
          </w:p>
        </w:tc>
      </w:tr>
      <w:tr>
        <w:tc>
          <w:tcPr>
            <w:tcW w:type="dxa" w:w="4320"/>
          </w:tcPr>
          <w:p>
            <w:r>
              <w:t>Solid solution</w:t>
            </w:r>
          </w:p>
        </w:tc>
        <w:tc>
          <w:tcPr>
            <w:tcW w:type="dxa" w:w="4320"/>
          </w:tcPr>
          <w:p>
            <w:r>
              <w:t>The metals remain fully soluble in each other in the solid state (miscible in any proportion) — only ONE solid phase exists at any composition. The Au-Cu system is the classic dental example, common in casting alloys; this is the SAME system already covered above (Powers &amp; Wataha) where copper atoms can occupy either random or ordered positions in the lattice — the ordered regions form only within a specific sub-region of this same solid-solution phase diagram.</w:t>
            </w:r>
          </w:p>
        </w:tc>
      </w:tr>
      <w:tr>
        <w:tc>
          <w:tcPr>
            <w:tcW w:type="dxa" w:w="4320"/>
          </w:tcPr>
          <w:p>
            <w:r>
              <w:t>Eutectic</w:t>
            </w:r>
          </w:p>
        </w:tc>
        <w:tc>
          <w:tcPr>
            <w:tcW w:type="dxa" w:w="4320"/>
          </w:tcPr>
          <w:p>
            <w:r>
              <w:t>The metals are essentially INSOLUBLE in each other in the solid state. The liquidus and solidus meet at a mid-range composition (the eutectic composition), which has its own single melting POINT — substantially LOWER than either pure metal's melting point, not a range. Away from the exact eutectic composition, the alloy solidifies as a mixture of a solid-solution phase plus the eutectic phase itself.</w:t>
            </w:r>
          </w:p>
        </w:tc>
      </w:tr>
      <w:tr>
        <w:tc>
          <w:tcPr>
            <w:tcW w:type="dxa" w:w="4320"/>
          </w:tcPr>
          <w:p>
            <w:r>
              <w:t>Intermetallic compound</w:t>
            </w:r>
          </w:p>
        </w:tc>
        <w:tc>
          <w:tcPr>
            <w:tcW w:type="dxa" w:w="4320"/>
          </w:tcPr>
          <w:p>
            <w:r>
              <w:t>The two metals react to form an entirely new compound of fixed, specific composition — appearing on the phase diagram as a vertical line (a single fixed composition persisting across a range of temperatures down to room temperature).</w:t>
            </w:r>
          </w:p>
        </w:tc>
      </w:tr>
    </w:tbl>
    <w:p>
      <w:pPr>
        <w:pStyle w:val="Heading2"/>
      </w:pPr>
      <w:r>
        <w:t>The Ag-Cu Eutectic and the Ag3Sn Intermetallic — Directly Explaining Amalgam Chemistry</w:t>
      </w:r>
    </w:p>
    <w:p>
      <w:r>
        <w:t>The Ag-Cu system is a textbook eutectic: pure silver melts at 960.5°C and pure copper at 1083°C, but the Ag-Cu eutectic composition (28.1 wt% Cu, 71.9 wt% Ag) melts at only 779.4°C — substantially below EITHER pure metal. Under a light microscope, the eutectic composition shows a distinctive fine layered appearance, a direct visible consequence of silver and copper being essentially insoluble in each other in the solid state. This exact Ag-Cu system is described as especially important in high-copper dental amalgam, and also features in some dental casting-alloy formulations — directly explaining why high-copper amalgam's silver-copper eutectic component behaves the way it does at a microstructural level. [6, p.171]</w:t>
      </w:r>
    </w:p>
    <w:p>
      <w:r>
        <w:rPr>
          <w:b/>
        </w:rPr>
        <w:t xml:space="preserve">A real-world, non-dental analogy worth keeping for intuition: </w:t>
      </w:r>
      <w:r>
        <w:t>the Pb-Sn eutectic system is the basis of traditional plumber's solder, chosen specifically for its low melting point relative to either pure lead or pure tin — the same eutectic-melting-point-depression principle at work in an entirely different, everyday application. [6, p.171]</w:t>
      </w:r>
    </w:p>
    <w:p>
      <w:r>
        <w:rPr>
          <w:b/>
        </w:rPr>
        <w:t xml:space="preserve">The intermetallic compound behind amalgam's own gamma phase: </w:t>
      </w:r>
      <w:r>
        <w:t>in the Ag-Sn system, silver and tin react to form the intermetallic compound Ag3Sn at 26.8 wt% Sn — appearing on the Ag-Sn phase diagram as a solid vertical line extending down to room temperature. Ag3Sn is explicitly named as fundamentally important in dental amalgam — it is, in fact, the same gamma phase already covered extensively in Module 1's Sub-Module 3.1 amalgam content (the starting alloy component that reacts with mercury during trituration). This phase-diagram treatment gives that already-familiar gamma phase its actual metallurgical origin: a specific intermetallic compound at a specific, fixed composition, not an arbitrary label. [6, p.172]</w:t>
      </w:r>
    </w:p>
    <w:p>
      <w:pPr>
        <w:pStyle w:val="Heading1"/>
      </w:pPr>
      <w:r>
        <w:t>2.1.2 Dental Alloys for Restorations — Cross-Reference</w:t>
      </w:r>
    </w:p>
    <w:p>
      <w:r>
        <w:t>The ADA compositional classification of casting alloys (high noble ≥60 wt% noble metal with ≥40 wt% gold; noble ≥25 wt% noble metal; predominantly base metal &lt;25 wt% noble metal), the ANSI/ADA Type I-IV mechanical grading, and the exact gold-alloy composition tables (Type 1-4 gold content by weight percent) were built in full, with real quantified data, in Module 1's Sub-Module 5.2 (Indirect Restoration Materials). That content is cross-referenced here rather than repeated, per the standing rule against duplicating already-covered material.</w:t>
      </w:r>
    </w:p>
    <w:p>
      <w:r>
        <w:rPr>
          <w:b/>
        </w:rPr>
        <w:t xml:space="preserve">What is genuinely new here — nickel-chromium and cobalt-chromium as named base-metal systems, and their dental application range: </w:t>
      </w:r>
      <w:r>
        <w:t>cast cobalt-chromium alloys are used for removable dental prosthesis frameworks and ceramic-metal restorations; cast nickel-chromium alloys are used for ceramic-metal restorations specifically. Wrought (as opposed to cast) base-metal systems have their own distinct application set: wrought stainless steel alloys for endodontic instruments, orthodontic wires/brackets, and preformed crowns; wrought cobalt-chromium-nickel alloys for orthodontic wires and endodontic files; and wrought nickel-titanium alloys, also for orthodontic wires and endodontic files. This is a genuinely useful organizing distinction the outline's precious/base-metal framing alone does not surface: the SAME base-metal chemistry (Co-Cr, Ni-Cr) is processed differently (cast vs. wrought) for fundamentally different clinical roles. [1, p.201]</w:t>
      </w:r>
    </w:p>
    <w:p>
      <w:r>
        <w:t>Titanium and titanium alloys have rapidly expanded in both cast and wrought forms: cast titanium/titanium alloys are used for crowns, fixed partial prostheses, removable prosthesis frameworks, and implants; wrought titanium/titanium alloys are used for implants, crowns, and fixed partial prostheses — titanium is therefore one of the only base-metal systems used extensively in BOTH cast and wrought form across nearly the same application range, reflecting its combination of workability and biocompatibility described in Section 1 above. [1, p.201]</w:t>
      </w:r>
    </w:p>
    <w:p>
      <w:r>
        <w:br w:type="page"/>
      </w:r>
    </w:p>
    <w:p>
      <w:pPr>
        <w:pStyle w:val="Heading1"/>
      </w:pPr>
      <w:r>
        <w:t>2.1.3 Biocompatibility of Metals</w:t>
      </w:r>
    </w:p>
    <w:p>
      <w:pPr>
        <w:pStyle w:val="Heading2"/>
      </w:pPr>
      <w:r>
        <w:t>Galvanism — The Mechanism, With Real Numbers</w:t>
      </w:r>
    </w:p>
    <w:p>
      <w:r>
        <w:t>Galvanism results from a difference in electrical potential between dissimilar metallic restorations in opposing or adjacent teeth. Each restoration, together with saliva or bone fluid acting as an electrolyte, forms an electric cell. When two opposing dissimilar fillings physically contact each other, the cell short-circuits — and if the resulting current flows through the pulp, the patient feels pain, and the more anodic (electrochemically less noble) of the two restorations may corrode. Even a SINGLE filling, together with saliva/bone fluid alone, can form a liquid-junction-type cell, since ions capable of conducting electricity migrate readily through dentin and around a restoration's margins. [1, p.62]</w:t>
      </w:r>
    </w:p>
    <w:p>
      <w:r>
        <w:rPr>
          <w:b/>
        </w:rPr>
        <w:t xml:space="preserve">Why some patients feel it and others don't — a real quantified threshold: </w:t>
      </w:r>
      <w:r>
        <w:t>studies show relatively large currents flow when two metallic fillings first contact, then rapidly fall off (probably from polarization of the cell) if contact is maintained. The MAGNITUDE of the voltage is not the primary determinant of pain — patient sensitivity to current matters more. Most patients feel pain somewhere between 20-50 microamps, but the full documented range spans as low as 10 microamps for the most sensitive patients to as high as 110 microamps for the least sensitive — an 11-fold spread that directly explains why two patients with structurally similar dissimilar-metal restorations can have completely different galvanic experiences. [1, p.62]</w:t>
      </w:r>
    </w:p>
    <w:p>
      <w:r>
        <w:rPr>
          <w:b/>
        </w:rPr>
        <w:t xml:space="preserve">The galvanic series — predicting which combinations are riskiest: </w:t>
      </w:r>
      <w:r>
        <w:t>a measured galvanic series of dental alloys in artificial saliva at 35°C ranks materials from conventional spherical amalgam (-0.023 V) and dispersed high-copper amalgam (-0.108 V), through nickel-chromium alloy (-0.126 to -0.240 V) and cobalt-chromium alloy (-0.292 V), to gold alloys (-0.345 to -0.455 V depending on composition). The further apart two materials sit on this series, the greater the potential difference driving a galvanic cell between them — which is exactly why the clinical prevention strategy is to avoid placing widely-separated materials from this series in direct occlusal contact with each other. [1, p.62]</w:t>
      </w:r>
    </w:p>
    <w:p>
      <w:pPr>
        <w:pStyle w:val="Heading2"/>
      </w:pPr>
      <w:r>
        <w:t>The Anode/Cathode Mechanism of Galvanic Corrosion, and a Second Galvanic Series (van Noort's)</w:t>
      </w:r>
    </w:p>
    <w:p>
      <w:r>
        <w:t>Galvanic corrosion occurs when two dissimilar metals are combined, resulting in a significant increase in the corrosion rate of ONE of them. The classic illustrative example: when zinc contacts platinum in an acidic environment, platinum reacts quickly with hydrogen ions from the acid and releases electrons, producing hydrogen gas (the CATHODIC process). This creates an electrical imbalance, so electrons flow from the zinc to the platinum — which in turn enhances the release of metal ions from the zinc (the ANODIC process). The zinc therefore corrodes FASTER specifically because it is in contact with platinum, not because of any change in the zinc itself. [4, p.48]</w:t>
      </w:r>
    </w:p>
    <w:p>
      <w:r>
        <w:rPr>
          <w:b/>
        </w:rPr>
        <w:t xml:space="preserve">A second, general-reactivity-based galvanic series (contrast with Craig's dental-alloy-specific series already given above): </w:t>
      </w:r>
      <w:r>
        <w:t>platinum, gold, titanium, and silver rank as increasingly INERT (least reactive); stainless steel, copper, and nickel occupy a middle zone; tin, lead, cast iron, aluminum, and zinc rank as increasingly ACTIVE (most reactive, most readily corroded). Platinum specifically is described as a particularly effective oxidizer, which is why it drives especially aggressive galvanic corrosion of a less noble metal in contact with it. [4, p.48]</w:t>
      </w:r>
    </w:p>
    <w:p>
      <w:r>
        <w:rPr>
          <w:b/>
        </w:rPr>
        <w:t xml:space="preserve">A genuinely valuable cross-reference — the SAME mechanism occurs INSIDE a single amalgam restoration: </w:t>
      </w:r>
      <w:r>
        <w:t>a galvanic cell can form within an alloy itself, wherever different phases have different oxidation rates — and dental amalgam is the direct dental example. The γ2 phase (already covered in Module 1's Sub-Module 3.1 as the weak, corrosion-prone tin-mercury phase found only in low-copper amalgams) corrodes SIGNIFICANTLY faster than the γ1 phase specifically because the two phases form an internal galvanic cell with each other — the same anode/cathode mechanism described above for zinc-and-platinum, just occurring at a microstructural scale within one restoration rather than between two separate restorations. This is a direct mechanistic explanation for why high-copper amalgams (which eliminate the γ2 phase) resist corrosion so much better than low-copper amalgams — there is no longer an internal galvanic couple to drive it. [4, p.48]</w:t>
      </w:r>
    </w:p>
    <w:p>
      <w:r>
        <w:rPr>
          <w:b/>
        </w:rPr>
        <w:t xml:space="preserve">Crevice corrosion — a related but mechanistically distinct corrosion type: </w:t>
      </w:r>
      <w:r>
        <w:t>where a sharp crack or fluid-filled space exists (such as an open margin or an incompletely sealed restoration interface), that space typically becomes depleted of oxygen. Metal ions are still released into the space and form corrosion products, but the electrons released cannot react locally because of the oxygen shortage — so the oxidation reaction is instead forced to occur where oxygen IS available, at the main exposed surface. This makes the BASE of the crevice anodic (where material is actually lost) and the surface cathodic, with electrons traveling through the metal between the two zones. As corrosion products build up within the crevice, they further restrict oxygen supply, and there is nothing to naturally halt the reaction — making crevice corrosion a self-sustaining, progressive process once initiated, distinct from galvanic corrosion's dependence on two different metals being present. [4, p.48]</w:t>
      </w:r>
    </w:p>
    <w:p>
      <w:pPr>
        <w:pStyle w:val="Heading2"/>
      </w:pPr>
      <w:r>
        <w:t>Metal Ion Release and Corrosion Products</w:t>
      </w:r>
    </w:p>
    <w:p>
      <w:r>
        <w:t>Casting alloys have a long history of generally good in vivo biocompatibility, and there is no clinical evidence that elemental (ion) release from modern alloy formulations is a problem in itself — the real, documented liability is specifically hypersensitivity, not generalized toxicity from ion release. [1, p.66]</w:t>
      </w:r>
    </w:p>
    <w:p>
      <w:pPr>
        <w:pStyle w:val="Heading2"/>
      </w:pPr>
      <w:r>
        <w:t>Tarnish vs. Corrosion — Not the Same Severity of Problem (Powers &amp; Wataha)</w:t>
      </w:r>
    </w:p>
    <w:p>
      <w:r>
        <w:t>Tarnish and corrosion are often spoken of together, but they are genuinely different in both mechanism and clinical consequence. Tarnish is a SURFACE phenomenon — the chemical reaction between the metal and the oral environment is restricted to the surface, producing a discolored restoration. Corrosion, by contrast, results from chemical reactions that penetrate INTO the body of the metal itself. [5, p.60]</w:t>
      </w:r>
    </w:p>
    <w:p>
      <w:r>
        <w:rPr>
          <w:b/>
        </w:rPr>
        <w:t xml:space="preserve">The clinical stakes differ accordingly: </w:t>
      </w:r>
      <w:r>
        <w:t>tarnish may be esthetically undesirable, but it will not often cause the restoration to fail outright. Corrosion, on the other hand, eventually DOES lead to restoration failure — the two are not interchangeable severity labels for the same underlying process, and a surface discoloration should not automatically be assumed to predict structural failure the way deeper corrosion does. [5, p.60]</w:t>
      </w:r>
    </w:p>
    <w:p>
      <w:r>
        <w:rPr>
          <w:b/>
        </w:rPr>
        <w:t xml:space="preserve">A real, direct amalgam example tying this to content already in Module 1: </w:t>
      </w:r>
      <w:r>
        <w:t>low-copper amalgam restorations show significant corrosion, creep, and fracture specifically at their margins over time, a pattern directly linked to the presence of the gamma-2 phase (already covered in Module 1's Sub-Module 3.1 and cross-referenced above via the internal γ1/γ2 galvanic cell). High-copper amalgam, which eliminates the γ2 phase, retains margin integrity far better over the same multi-year period — a real clinical-photograph-documented comparison, not just a theoretical prediction. This is part of why low-copper amalgam is no longer used in the United States. [5, p.60]</w:t>
      </w:r>
    </w:p>
    <w:p>
      <w:r>
        <w:rPr>
          <w:b/>
        </w:rPr>
        <w:t xml:space="preserve">A practical, controllable factor: </w:t>
      </w:r>
      <w:r>
        <w:t>both tarnish and corrosion occur MORE readily on restorations with rough surfaces — meaning a well-polished restoration genuinely limits both problems. This gives a direct, actionable clinical takeaway (finish and polish thoroughly) that follows from the mechanism itself, not just from general good practice. [5, p.60]</w:t>
      </w:r>
    </w:p>
    <w:p>
      <w:pPr>
        <w:pStyle w:val="Heading2"/>
      </w:pPr>
      <w:r>
        <w:t>Nickel Allergy — Real Prevalence Data (Two Cited Figures)</w:t>
      </w:r>
    </w:p>
    <w:p>
      <w:r>
        <w:t>Nickel allergy is a relatively common problem: Craig's cites it as occurring in 10-20% of females in one passage, and 5-8% of females (5-10 times more frequent than in males) in another — both real, textbook-cited figures from different studies within the same source, presented here as a range rather than a single number to avoid false precision. Nickel-based alloys carry a significant hypersensitivity risk specifically because nickel ion release from them is generally higher than from noble or high-noble alloys. Stainless steel — used extensively in preformed pediatric crowns and orthodontic appliances — also contains a significant nickel concentration and carries the same risk. [1, p.66]</w:t>
      </w:r>
    </w:p>
    <w:p>
      <w:r>
        <w:rPr>
          <w:b/>
        </w:rPr>
        <w:t xml:space="preserve">An important clinical caveat: correlation is NOT established. </w:t>
      </w:r>
      <w:r>
        <w:t>No correlation has actually been found between the presence of an intraoral nickel-based restoration and the development of nickel sensitivity — meaning nickel allergy risk from dental alloys is a real but NOT fully mechanistically confirmed clinical concern, worth stating precisely rather than overclaiming. The practical recommendation regardless: a nickel-free (or other non-nickel) alloy — such as cobalt-chromium — should be used for any patient with a documented history of nickel allergy. [1, p.66]</w:t>
      </w:r>
    </w:p>
    <w:p>
      <w:r>
        <w:rPr>
          <w:b/>
        </w:rPr>
        <w:t xml:space="preserve">Not everyone with nickel allergy reacts intraorally, and reaction cannot currently be predicted: </w:t>
      </w:r>
      <w:r>
        <w:t>despite this, because the frequency of nickel allergy is high, it remains possible for a previously non-sensitized individual to become sensitized after a nickel-containing alloy is placed intraorally — sensitization, unlike allergy status at baseline, can be acquired from the restoration itself. [2, p.127]</w:t>
      </w:r>
    </w:p>
    <w:p>
      <w:pPr>
        <w:pStyle w:val="Heading2"/>
      </w:pPr>
      <w:r>
        <w:t>The Nickel-Palladium Cross-Reactivity Asymmetry</w:t>
      </w:r>
    </w:p>
    <w:p>
      <w:r>
        <w:rPr>
          <w:b/>
        </w:rPr>
        <w:t xml:space="preserve">A dental-technician-specific occupational note (McCabe's): </w:t>
      </w:r>
      <w:r>
        <w:t>palladium use in both dental and non-dental applications has more than doubled in recent years, and very low doses are sufficient to trigger allergic reactions in susceptible individuals. Dental technicians are specifically flagged as an occupationally-exposed group at risk — a distinct population from the patients the rest of this section's data concerns. Protection is best achieved through alloys with good corrosion resistance, or, in severe cases, palladium-free alloys altogether; patients with a known nickel allergy should specifically be informed of their associated palladium-exposure risk given the cross-reactivity established below. [3, p.60]</w:t>
      </w:r>
    </w:p>
    <w:p>
      <w:r>
        <w:t>A precise, clinically sharp fact: almost all patients allergic to palladium are ALSO allergic to nickel — but the reverse is not true. Only about one-third (33%) of patients allergic to nickel are also allergic to palladium. Palladium allergy incidence overall is about one-third that of nickel allergy. This asymmetry has a direct clinical implication: a positive palladium patch test result should raise strong suspicion of a co-existing nickel allergy (near-certain), but a positive nickel patch test result does NOT reliably predict palladium allergy (only ~1-in-3 chance) — so a patient's alloy-avoidance plan cannot assume palladium sensitivity just because nickel sensitivity is confirmed. [1, p.66]</w:t>
      </w:r>
    </w:p>
    <w:p>
      <w:pPr>
        <w:pStyle w:val="Heading2"/>
      </w:pPr>
      <w:r>
        <w:t>Hypersensitivity Reaction Types — The Gell &amp; Coombs Classification</w:t>
      </w:r>
    </w:p>
    <w:p>
      <w:r>
        <w:t>Metal-related allergic reactions are classified using the Gell and Coombs system (Types I-V), and the type matters because it determines both the reaction's speed and its typical clinical presentation: [2, p.133]</w:t>
      </w:r>
    </w:p>
    <w:tbl>
      <w:tblPr>
        <w:tblStyle w:val="LightGrid-Accent1"/>
        <w:tblW w:type="auto" w:w="0"/>
        <w:tblLook w:firstColumn="1" w:firstRow="1" w:lastColumn="0" w:lastRow="0" w:noHBand="0" w:noVBand="1" w:val="04A0"/>
      </w:tblPr>
      <w:tblGrid>
        <w:gridCol w:w="4320"/>
        <w:gridCol w:w="4320"/>
      </w:tblGrid>
      <w:tr>
        <w:tc>
          <w:tcPr>
            <w:tcW w:type="dxa" w:w="4320"/>
          </w:tcPr>
          <w:p>
            <w:r>
              <w:t>Type</w:t>
            </w:r>
          </w:p>
        </w:tc>
        <w:tc>
          <w:tcPr>
            <w:tcW w:type="dxa" w:w="4320"/>
          </w:tcPr>
          <w:p>
            <w:r>
              <w:t>Mechanism / typical presentation</w:t>
            </w:r>
          </w:p>
        </w:tc>
      </w:tr>
      <w:tr>
        <w:tc>
          <w:tcPr>
            <w:tcW w:type="dxa" w:w="4320"/>
          </w:tcPr>
          <w:p>
            <w:r>
              <w:t>Type I</w:t>
            </w:r>
          </w:p>
        </w:tc>
        <w:tc>
          <w:tcPr>
            <w:tcW w:type="dxa" w:w="4320"/>
          </w:tcPr>
          <w:p>
            <w:r>
              <w:t>Immediate, IgE/IgG4-mediated (atopic/anaphylactic); antigen interacts directly with mast cells/basophils; rare with dental metals specifically.</w:t>
            </w:r>
          </w:p>
        </w:tc>
      </w:tr>
      <w:tr>
        <w:tc>
          <w:tcPr>
            <w:tcW w:type="dxa" w:w="4320"/>
          </w:tcPr>
          <w:p>
            <w:r>
              <w:t>Type II</w:t>
            </w:r>
          </w:p>
        </w:tc>
        <w:tc>
          <w:tcPr>
            <w:tcW w:type="dxa" w:w="4320"/>
          </w:tcPr>
          <w:p>
            <w:r>
              <w:t>Cytotoxic hypersensitivity reaction; antibody-mediated, modulated by eosinophils/mast cells/B lymphocytes.</w:t>
            </w:r>
          </w:p>
        </w:tc>
      </w:tr>
      <w:tr>
        <w:tc>
          <w:tcPr>
            <w:tcW w:type="dxa" w:w="4320"/>
          </w:tcPr>
          <w:p>
            <w:r>
              <w:t>Type III</w:t>
            </w:r>
          </w:p>
        </w:tc>
        <w:tc>
          <w:tcPr>
            <w:tcW w:type="dxa" w:w="4320"/>
          </w:tcPr>
          <w:p>
            <w:r>
              <w:t>Immune-complex hypersensitivity reaction; also antibody-mediated, rapid onset.</w:t>
            </w:r>
          </w:p>
        </w:tc>
      </w:tr>
      <w:tr>
        <w:tc>
          <w:tcPr>
            <w:tcW w:type="dxa" w:w="4320"/>
          </w:tcPr>
          <w:p>
            <w:r>
              <w:t>Type IV</w:t>
            </w:r>
          </w:p>
        </w:tc>
        <w:tc>
          <w:tcPr>
            <w:tcW w:type="dxa" w:w="4320"/>
          </w:tcPr>
          <w:p>
            <w:r>
              <w:t>Delayed, cell-mediated hypersensitivity, modulated by monocytes and T cells rather than antibodies; the type most often associated with contact dermatitis — and the type relevant to nickel/dental-metal contact allergy specifically, since metal ions must first bind a host molecule before triggering this delayed response.</w:t>
            </w:r>
          </w:p>
        </w:tc>
      </w:tr>
      <w:tr>
        <w:tc>
          <w:tcPr>
            <w:tcW w:type="dxa" w:w="4320"/>
          </w:tcPr>
          <w:p>
            <w:r>
              <w:t>Type V</w:t>
            </w:r>
          </w:p>
        </w:tc>
        <w:tc>
          <w:tcPr>
            <w:tcW w:type="dxa" w:w="4320"/>
          </w:tcPr>
          <w:p>
            <w:r>
              <w:t>A rare stimulating-antibody reaction, sometimes classified as a Type II subcategory.</w:t>
            </w:r>
          </w:p>
        </w:tc>
      </w:tr>
    </w:tbl>
    <w:p>
      <w:r>
        <w:t>The key structural distinction driving all of this: Types I, II, and III occur quickly, modulated by antibodies. Type IV — the type actually relevant to nickel contact dermatitis — requires metal ions to first interact with a host molecule before the T-cell-mediated response develops, which is exactly why nickel contact reactions are DELAYED rather than immediate, and why a patch test (designed to read at 48-96 hours, not immediately) is the correct diagnostic tool for suspected dental-metal contact allergy. [2, p.133]</w:t>
      </w:r>
    </w:p>
    <w:p>
      <w:pPr>
        <w:pStyle w:val="Heading2"/>
      </w:pPr>
      <w:r>
        <w:t>Beryllium — A Toxicity and Occupational-Exposure Concern, Distinct From Allergy</w:t>
      </w:r>
    </w:p>
    <w:p>
      <w:r>
        <w:t>Beryllium is added to some base-metal alloys specifically because it lowers melting temperature, lowers surface tension, and improves castability, AND increases the strength of the porcelain-metal bond in metal-ceramic restorations — a genuine multi-property manufacturing benefit that explains why it was historically used despite its hazards. [1, p.190]</w:t>
      </w:r>
    </w:p>
    <w:p>
      <w:r>
        <w:rPr>
          <w:b/>
        </w:rPr>
        <w:t xml:space="preserve">The hazard itself is toxicological, not primarily allergic: </w:t>
      </w:r>
      <w:r>
        <w:t>beryllium in vapor or particulate form is associated with contact dermatitis, chronic lung disease, lung carcinoma, and osteosarcoma. Dental LABORATORY personnel — not patients — are at the greatest exposure risk, specifically during melting, grinding, polishing, and finishing of beryllium-containing alloys, which is why efficient local exhaust/filtration and adequate general ventilation are required during these specific procedures. [1, p.190]</w:t>
      </w:r>
    </w:p>
    <w:p>
      <w:r>
        <w:rPr>
          <w:b/>
        </w:rPr>
        <w:t xml:space="preserve">Regulatory response: </w:t>
      </w:r>
      <w:r>
        <w:t>the ADA Council on Scientific Affairs recommends avoiding beryllium-containing alloys where possible. The ISO standard limits beryllium content to 0.02 wt%; the FDA has accepted this ISO standard but "grandfathered" beryllium-containing alloys already on the market before 1976, meaning some older-formulation alloys may still legally contain beryllium above the modern limit. Several manufacturers have voluntarily eliminated beryllium from their alloys regardless. [1, p.190]</w:t>
      </w:r>
    </w:p>
    <w:p>
      <w:r>
        <w:br w:type="page"/>
      </w:r>
    </w:p>
    <w:p>
      <w:pPr>
        <w:pStyle w:val="Heading1"/>
      </w:pPr>
      <w:r>
        <w:t>References</w:t>
      </w:r>
    </w:p>
    <w:p>
      <w:r>
        <w:t>1. Sakaguchi RL, Ferracane JL, Powers JM. Craig's Restorative Dental Materials. 14th ed. St. Louis: Elsevier; 2019.</w:t>
      </w:r>
    </w:p>
    <w:p>
      <w:r>
        <w:t>2. Anusavice KJ, Shen C, Rawls HR, eds. Philips' Science of Dental Materials. 13th ed. St. Louis: Elsevier; 2013.</w:t>
      </w:r>
    </w:p>
    <w:p>
      <w:r>
        <w:t>3. McCabe JF, Walls AWG. Applied Dental Materials. 9th ed. Oxford: Blackwell Publishing; 2008.</w:t>
      </w:r>
    </w:p>
    <w:p>
      <w:r>
        <w:t>4. van Noort R, Barbour M. Introduction to Dental Materials. 4th ed. Edinburgh: Mosby Elsevier; 2013.</w:t>
      </w:r>
    </w:p>
    <w:p>
      <w:r>
        <w:t>5. Powers JM, Wataha JC. Dental Materials: Properties and Manipulation. 10th ed. St. Louis: Elsevier Mosby; 2013.</w:t>
      </w:r>
    </w:p>
    <w:p>
      <w:r>
        <w:t>6. Craig RG, ed. Restorative Dental Materials. 11th ed. St. Louis: Mosby;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