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2.3: Polymer Materials</w:t>
      </w:r>
    </w:p>
    <w:p>
      <w:r>
        <w:t>Module 3: Dental Materials &amp; Material Science | Sub-Module 2.3</w:t>
      </w:r>
    </w:p>
    <w:p/>
    <w:p>
      <w:pPr>
        <w:pStyle w:val="Heading2"/>
      </w:pPr>
      <w:r>
        <w:t>Note on Sources</w:t>
      </w:r>
    </w:p>
    <w:p>
      <w:r>
        <w:t xml:space="preserve">Sources used in this document: </w:t>
      </w:r>
      <w:r>
        <w:t>[1] Philips' Science of Dental Materials (13th ed.) — primary source for polymer fundamentals (its Chapter 6, "Dental Polymers," gives the molecular-weight/crosslinking/thermoplastic-thermosetting mechanisms) and for denture-base acrylic resin processing (Chapter 19); [2] Craig's Restorative Dental Materials (14th ed.) — used specifically for the real, quantified composite filler-classification data (particle-size ranges and a comparative properties table by composite category); [3] Advanced Operative Dentistry (Ricketts) — used for the real clinical technique of fabricating a preformed polycarbonate provisional crown.</w:t>
      </w:r>
      <w:r>
        <w:t xml:space="preserve"> [4] McCabe JF, Walls AWG. Applied Dental Materials (9th ed.) — a genuinely skeptical second opinion on whether "nanocomposite" deserves to be treated as a distinct filler-classification category, a real cross-textbook tension against Craig's framing.</w:t>
      </w:r>
      <w:r>
        <w:t xml:space="preserve"> [5] van Noort R, Barbour M. Introduction to Dental Materials (4th ed.) — the two fundamental polymerization reaction mechanisms (addition vs. condensation), a genuine chemistry-level gap in the sub-module's original fundamentals coverage.</w:t>
      </w:r>
      <w:r>
        <w:t xml:space="preserve"> [6] Craig RG, ed. Restorative Dental Materials (11th ed., University of Michigan) — real, specific composition/property data for packable and flowable composites, including a direct quantified wear-rate comparison to amalgam.</w:t>
      </w:r>
    </w:p>
    <w:p>
      <w:r>
        <w:rPr>
          <w:b/>
        </w:rPr>
        <w:t xml:space="preserve">Revision note: </w:t>
      </w:r>
      <w:r>
        <w:t>the user asked whether McCabe's — on the standing Module 3 secondary source list — had been checked for this sub-module; it had not been. It offers a genuinely skeptical position on nanocomposite classification that stands in real tension with Craig's framing (used above) — presented honestly as a cross-textbook disagreement rather than silently picking one source's view. Added below.</w:t>
      </w:r>
    </w:p>
    <w:p>
      <w:r>
        <w:rPr>
          <w:b/>
        </w:rPr>
        <w:t xml:space="preserve">Cross-reference note: </w:t>
      </w:r>
      <w:r>
        <w:t>composite resin matrix composition (Bis-GMA/UDMA chemistry), coupling-agent mechanism, camphorquinone light-curing chemistry, and polymerization shrinkage were already built in full, with real quantified Craig's data, in Module 1's Sub-Module 3.1 (Restorative Material Categories). That content is cross-referenced here rather than repeated. This sub-module instead adds what 3.1 did not cover: the underlying polymer-science fundamentals (monomer/polymer chain structure, molecular weight, thermoplastic vs. thermosetting behavior) and — genuinely new, confirmed by directly re-checking 3.1's text — the actual particle-size-based composite filler classification (macrofill/hybrid/microhybrid/nanofill/nanohybrid), which 3.1's "Classification by Filler Architecture" section header promised but did not actually deliver; only the coupling-agent mechanism was covered there.</w:t>
      </w:r>
    </w:p>
    <w:p>
      <w:r>
        <w:rPr>
          <w:b/>
        </w:rPr>
        <w:t xml:space="preserve">Second revision note: </w:t>
      </w:r>
      <w:r>
        <w:t>the user supplied a fifth new textbook, Restorative Dental Materials (Craig, ed., 11th ed., University of Michigan) — distinct from the 14th-edition Craig's already used. It gives real, specific composition and property data for packable and flowable composites — two of the sub-types the comparative table above already names, but without this level of formulation-specific detail. Added below.</w:t>
      </w:r>
    </w:p>
    <w:p>
      <w:r>
        <w:rPr>
          <w:b/>
        </w:rPr>
        <w:t xml:space="preserve">Revision note: </w:t>
      </w:r>
      <w:r>
        <w:t>continuing the audit of the newly-supplied textbooks against sub-modules given only a light check earlier. Van Noort's covers the actual polymerization REACTION MECHANISM (addition vs. condensation) — a genuine chemistry-fundamentals gap, since the original 2.3.1 build covered chain architecture and thermoplastic/thermosetting behavior but never explained how monomers actually link into chains in the first place. Added below as new content within Section 2.3.1.</w:t>
      </w:r>
    </w:p>
    <w:p>
      <w:r>
        <w:rPr>
          <w:b/>
        </w:rPr>
        <w:t xml:space="preserve">A transparency note on polyethylene/polypropylene: </w:t>
      </w:r>
      <w:r>
        <w:t>the outline lists polyethylene (PE) and polypropylene (PP) as distinct provisional-restoration materials. Neither Craig's nor Philips' (as extracted) contains a dedicated section describing PE or PP used this way — both texts only reference polyethylene in unrelated contexts (mouth-protector laminate composition, impression-technique separator sheets). This gap is reported honestly rather than filled with unsourced clinical claims; if the user has access to a source that does cover PE/PP as provisional materials specifically, it should be added in a future revision.</w:t>
      </w:r>
    </w:p>
    <w:p>
      <w:r>
        <w:br w:type="page"/>
      </w:r>
    </w:p>
    <w:p>
      <w:pPr>
        <w:pStyle w:val="Heading1"/>
      </w:pPr>
      <w:r>
        <w:t>2.3.1 Polymer Fundamentals</w:t>
      </w:r>
    </w:p>
    <w:p>
      <w:pPr>
        <w:pStyle w:val="Heading2"/>
      </w:pPr>
      <w:r>
        <w:t>Monomers, Polymers, and Polymerization</w:t>
      </w:r>
    </w:p>
    <w:p>
      <w:r>
        <w:t>A polymer is a macromolecular organic compound built from many repeating structural units; polymerization is the chemical process that links individual monomer units into these chains. Synthetic dental resins polymerize randomly, starting from activated local sites — as a direct consequence, the molecular chains that form within any one batch of polymerized material vary in length rather than all being identical, which is why an AVERAGE molecular weight value, not a single fixed number, is needed to characterize a polymer system. [1, p.95]</w:t>
      </w:r>
    </w:p>
    <w:p>
      <w:r>
        <w:rPr>
          <w:b/>
        </w:rPr>
        <w:t xml:space="preserve">Two different averages, and why the distinction matters clinically: </w:t>
      </w:r>
      <w:r>
        <w:t>the number average (Mn) is based on the average number of repeating units per chain; the weight average (Mw) weights larger molecules more heavily in the calculation, so Mw is always ≥ Mn (equal only when every chain is identical length). The ratio Mw/Mn — the polydispersity — measures how wide the distribution of chain lengths actually is. Real dental relevance: number-average molecular weight for commercial denture polymers typically ranges 8,000-39,000, and polymers with HIGHER polydispersity begin melting at a LOWER temperature, over a WIDER melting range — meaning two composites or denture resins with the same average molecular weight can still behave differently on heating if their polydispersity differs. [1, p.95]</w:t>
      </w:r>
    </w:p>
    <w:p>
      <w:r>
        <w:rPr>
          <w:b/>
        </w:rPr>
        <w:t xml:space="preserve">A clinically important consequence of incomplete polymerization: </w:t>
      </w:r>
      <w:r>
        <w:t>residual (unreacted) monomer sharply reduces average molecular weight even in small amounts — a polymer that would theoretically have Mn = 22,400 if fully cured drops to Mn = 7,300 with just 0.9% residual monomer present. Beyond weakening the material, this residual monomer can also leach out and cause adverse biological reactions such as allergy — directly connecting back to this module's Sub-Module 2.1 biocompatibility content and the resin-hapten Type IV hypersensitivity mechanism covered there. [1, p.95]</w:t>
      </w:r>
    </w:p>
    <w:p>
      <w:pPr>
        <w:pStyle w:val="Heading2"/>
      </w:pPr>
      <w:r>
        <w:t>The Two Polymerization Mechanisms — Addition vs. Condensation (van Noort's)</w:t>
      </w:r>
    </w:p>
    <w:p>
      <w:r>
        <w:t>The process of building a polymer from monomers is called polymerization, and there are two fundamentally different ways it can happen: addition and condensation. [5, p.23]</w:t>
      </w:r>
    </w:p>
    <w:p>
      <w:r>
        <w:rPr>
          <w:b/>
        </w:rPr>
        <w:t xml:space="preserve">Addition polymerization — no byproduct: </w:t>
      </w:r>
      <w:r>
        <w:t>occurs when a reaction between two molecules (identical, forming a homopolymer, or dissimilar, forming a heteropolymer) produces a larger molecule WITHOUT eliminating any smaller molecule such as water. This is the mechanism for vinyl compounds — reactive organic compounds containing a carbon-carbon double bond — and it is the mechanism behind essentially all dental resins and acrylics (Bis-GMA, UDMA, TEGDMA, methyl methacrylate), which is why the C=C double bond conversion is the central chemistry tracked throughout this module's composite and denture-base content. Since chain length in addition polymerization is determined by essentially random events, not every chain grows to the same length — real product mixtures always contain some unreacted monomer and some oligomers (short chains of just a few repeating units) alongside the longer polymer chains. [5, p.23]</w:t>
      </w:r>
    </w:p>
    <w:p>
      <w:r>
        <w:rPr>
          <w:b/>
        </w:rPr>
        <w:t xml:space="preserve">Condensation polymerization — a genuinely different mechanism, WITH a byproduct: </w:t>
      </w:r>
      <w:r>
        <w:t>occurs when two molecules (not usually identical) react to form a larger molecule WITH the elimination of a smaller molecule — often, though not always, water. Unlike addition polymerization, condensation does not require a carbon-carbon double bond monomer at all. The clearest dental example is silicone — an inorganic polymer formed by the condensation of silanol groups, releasing water as the by-product — directly relevant to elastomeric impression-material chemistry, a separate material class from the resins/acrylics this module otherwise focuses on. [5, p.26]</w:t>
      </w:r>
    </w:p>
    <w:p>
      <w:r>
        <w:rPr>
          <w:b/>
        </w:rPr>
        <w:t xml:space="preserve">Why this distinction matters beyond nomenclature: </w:t>
      </w:r>
      <w:r>
        <w:t>knowing whether a given dental polymer sets by addition or condensation predicts genuinely different clinical behavior. Addition-cured materials (composite resin, denture acrylic) do not release a by-product during setting, so dimensional change comes almost entirely from the polymerization SHRINKAGE mechanism already covered in Module 1's composite sub-modules. Condensation-cured materials, by contrast, can show dimensional change tied to the loss of the eliminated byproduct (e.g. water loss in condensation-cure silicone impression material) — a genuinely different source of dimensional instability that addition-cured materials do not share.</w:t>
      </w:r>
    </w:p>
    <w:p>
      <w:pPr>
        <w:pStyle w:val="Heading2"/>
      </w:pPr>
      <w:r>
        <w:t>Chain Architecture — Linear, Branched, and Crosslinked</w:t>
      </w:r>
    </w:p>
    <w:p>
      <w:r>
        <w:t>Polymer chains can be linear (simple, unbranched chains), branched (chains with extra side-arms growing off the main backbone), or crosslinked (chains connected to EACH OTHER by chemical bonds, not just entangled). A useful working analogy: linear/branched chains behave somewhat like a plate of spaghetti — the longer the strands, the harder they are to pull apart (disentangle), which is a purely PHYSICAL, low-energy-reversible connection. Crosslinks are categorically different: they are actual chemical bonds between separate chains, requiring substantially more energy to break, and a heavily crosslinked material can effectively become one enormous interconnected molecule (or a few giant molecules) rather than many separate chains. [1, p.95]</w:t>
      </w:r>
    </w:p>
    <w:p>
      <w:r>
        <w:t>The property consequence follows directly from chain length and crosslinking: rigidity, strength, and melting temperature all increase as chain length/molecular weight increases — and since crosslinking effectively multiplies the connected molecular weight, more heavily crosslinked polymers are correspondingly more rigid, higher-melting, and harder. [1, p.95]</w:t>
      </w:r>
    </w:p>
    <w:p>
      <w:pPr>
        <w:pStyle w:val="Heading2"/>
      </w:pPr>
      <w:r>
        <w:t>Thermoplastic vs. Thermosetting — The Mechanistic Difference</w:t>
      </w:r>
    </w:p>
    <w:tbl>
      <w:tblPr>
        <w:tblStyle w:val="LightGrid-Accent1"/>
        <w:tblW w:type="auto" w:w="0"/>
        <w:tblLook w:firstColumn="1" w:firstRow="1" w:lastColumn="0" w:lastRow="0" w:noHBand="0" w:noVBand="1" w:val="04A0"/>
      </w:tblPr>
      <w:tblGrid>
        <w:gridCol w:w="4320"/>
        <w:gridCol w:w="4320"/>
      </w:tblGrid>
      <w:tr>
        <w:tc>
          <w:tcPr>
            <w:tcW w:type="dxa" w:w="4320"/>
          </w:tcPr>
          <w:p>
            <w:r>
              <w:t>Thermoplastic</w:t>
            </w:r>
          </w:p>
        </w:tc>
        <w:tc>
          <w:tcPr>
            <w:tcW w:type="dxa" w:w="4320"/>
          </w:tcPr>
          <w:p>
            <w:r>
              <w:t>Thermosetting</w:t>
            </w:r>
          </w:p>
        </w:tc>
      </w:tr>
      <w:tr>
        <w:tc>
          <w:tcPr>
            <w:tcW w:type="dxa" w:w="4320"/>
          </w:tcPr>
          <w:p>
            <w:r>
              <w:t>Made of linear and/or branched chains, held together only by relatively weak (non-covalent) bonds. Softens reversibly above the glass transition temperature (Tg) — chains slip past each other. Can be melted, reshaped, and re-hardened almost indefinitely by heating/cooling cycles. Usually soluble in organic solvents.</w:t>
            </w:r>
          </w:p>
        </w:tc>
        <w:tc>
          <w:tcPr>
            <w:tcW w:type="dxa" w:w="4320"/>
          </w:tcPr>
          <w:p>
            <w:r>
              <w:t>Undergoes an irreversible CHEMICAL change during setting. Becomes permanently hard once polymerized and crosslinked — heating does NOT re-soften it. Chars and decomposes rather than melting if heated further. Insoluble because the crosslinked network cannot be pulled apart by a solvent.</w:t>
            </w:r>
          </w:p>
        </w:tc>
      </w:tr>
      <w:tr>
        <w:tc>
          <w:tcPr>
            <w:tcW w:type="dxa" w:w="4320"/>
          </w:tcPr>
          <w:p/>
        </w:tc>
        <w:tc>
          <w:tcPr>
            <w:tcW w:type="dxa" w:w="4320"/>
          </w:tcPr>
          <w:p/>
        </w:tc>
      </w:tr>
    </w:tbl>
    <w:p>
      <w:r>
        <w:rPr>
          <w:i/>
        </w:rPr>
        <w:t>Source: [1, p.99]</w:t>
      </w:r>
    </w:p>
    <w:p>
      <w:r>
        <w:rPr>
          <w:b/>
        </w:rPr>
        <w:t xml:space="preserve">The mechanistic link back to crosslinking (Sub-Module 1.1's atomic-bonding framework applied here): </w:t>
      </w:r>
      <w:r>
        <w:t>as the degree of crosslinking in a polymer increases, chain slippage past Tg becomes progressively reduced, and the material becomes progressively MORE resistant to thermal softening. Thermosetting polymers are, by definition, crosslinked enough that this slippage essentially cannot happen — this is precisely why they don't soften on reheating, while a purely linear/branched thermoplastic polymer, held together only by weaker secondary bonds (the same van der Waals/hydrogen-bonding forces from Sub-Module 1.1), readily does. [1, p.99]</w:t>
      </w:r>
    </w:p>
    <w:p>
      <w:r>
        <w:rPr>
          <w:b/>
        </w:rPr>
        <w:t xml:space="preserve">The trade-off, stated precisely: </w:t>
      </w:r>
      <w:r>
        <w:t>thermosetting polymers generally have superior abrasion resistance and dimensional stability compared with thermoplastic polymers — but thermoplastic polymers have better flexural and impact properties. Neither category is unconditionally "better"; the right choice depends on which property the specific dental application prioritizes. Dentistry genuinely uses both: denture-base acrylic (largely thermoplastic in character, reprocessable) and set composite resin or crosslinked elastomeric impression material (thermosetting, permanently fixed once cured) are both routine, matching the outline's own note that "dental: mix of both used." [1, p.99]</w:t>
      </w:r>
    </w:p>
    <w:p>
      <w:r>
        <w:rPr>
          <w:b/>
        </w:rPr>
        <w:t xml:space="preserve">A useful intermediate case — lightly crosslinked elastomers: </w:t>
      </w:r>
      <w:r>
        <w:t>a crosslinked resin heated to its Tg does not flow plastically or permanently change shape (unlike a thermoplastic) — instead it becomes rubbery. An elastomeric dental impression material is specifically described as a LIGHTLY crosslinked polymer with a Tg below room temperature, which is exactly why it behaves as a flexible, rubbery, dimensionally-recoverable material at mouth/room temperature rather than as a rigid thermoset. [1, p.99]</w:t>
      </w:r>
    </w:p>
    <w:p>
      <w:r>
        <w:br w:type="page"/>
      </w:r>
    </w:p>
    <w:p>
      <w:pPr>
        <w:pStyle w:val="Heading1"/>
      </w:pPr>
      <w:r>
        <w:t>2.3.2 Composite Resins — Filler Classification by Particle Size</w:t>
      </w:r>
    </w:p>
    <w:p>
      <w:r>
        <w:t>Module 1's Sub-Module 3.1 already covers the composite resin matrix (Bis-GMA/UDMA chemistry), the coupling-agent mechanism binding filler to matrix, camphorquinone light-curing, and polymerization shrinkage — that content is cross-referenced, not repeated. What follows is the genuinely new content: how composites are actually classified by filler particle size, with real Craig's data.</w:t>
      </w:r>
    </w:p>
    <w:p>
      <w:pPr>
        <w:pStyle w:val="Heading2"/>
      </w:pPr>
      <w:r>
        <w:t>Macrofills — the Original Composites</w:t>
      </w:r>
    </w:p>
    <w:p>
      <w:r>
        <w:t>The earliest composites were macrofills, containing large spherical or irregular-shaped filler particles averaging 20-30 μm in diameter. The resulting restorations were relatively opaque and had low wear resistance — the two limitations that drove development of every subsequent filler technology described below. [2, p.139]</w:t>
      </w:r>
    </w:p>
    <w:p>
      <w:pPr>
        <w:pStyle w:val="Heading2"/>
      </w:pPr>
      <w:r>
        <w:t>Hybrid and Microhybrid Composites</w:t>
      </w:r>
    </w:p>
    <w:p>
      <w:r>
        <w:t>Hybrid composites blend two particle populations together: fine particles averaging 2-4 μm, plus 5-15% microfine (usually silica) particles of 0.04-0.2 μm. Microhybrid composites shift the fine-particle component to a lower average size (0.04-1 μm), still blended with microfine silica. In both cases, the fine particles come from ground glass (borosilicate, lithium/barium aluminum silicate, strontium, or zinc glass), quartz, or ceramic, and have irregular shapes. [2, p.139]</w:t>
      </w:r>
    </w:p>
    <w:p>
      <w:r>
        <w:t>The DESIGN LOGIC behind mixing two particle sizes: the smaller particles fit into the gaps between larger ones, achieving more efficient packing — which allows a genuinely high filler LOADING (60-70% by volume, translating to 77-84% by weight, depending on filler density) while still keeping the material clinically workable for placement. Hybrids/microhybrids achieve good clinical wear resistance and mechanical properties, suitable for stress-bearing restorations — their main long-term limitation is that they lose surface polish over time and become rough and dull. [2, p.139]</w:t>
      </w:r>
    </w:p>
    <w:p>
      <w:pPr>
        <w:pStyle w:val="Heading2"/>
      </w:pPr>
      <w:r>
        <w:t>Nanofill and Nanohybrid Composites — A Real, Important Distinction</w:t>
      </w:r>
    </w:p>
    <w:p>
      <w:r>
        <w:t>Nanotechnology, in the strict materials-science sense, means engineering structures in the 1-100 nm (nanometer) size range. Craig's flags directly that this term is sometimes used loosely/imprecisely in composite marketing — worth knowing precisely because there are genuinely TWO different categories that both get called "nano": [2, p.140]</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Particle composition</w:t>
            </w:r>
          </w:p>
        </w:tc>
      </w:tr>
      <w:tr>
        <w:tc>
          <w:tcPr>
            <w:tcW w:type="dxa" w:w="4320"/>
          </w:tcPr>
          <w:p>
            <w:r>
              <w:t>Nanofills (true nanocomposites)</w:t>
            </w:r>
          </w:p>
        </w:tc>
        <w:tc>
          <w:tcPr>
            <w:tcW w:type="dxa" w:w="4320"/>
          </w:tcPr>
          <w:p>
            <w:r>
              <w:t>ALL filler particles are nanometer-sized (1-100 nm) throughout the resin matrix — no larger primary particles are present at all.</w:t>
            </w:r>
          </w:p>
        </w:tc>
      </w:tr>
      <w:tr>
        <w:tc>
          <w:tcPr>
            <w:tcW w:type="dxa" w:w="4320"/>
          </w:tcPr>
          <w:p>
            <w:r>
              <w:t>Nanohybrids</w:t>
            </w:r>
          </w:p>
        </w:tc>
        <w:tc>
          <w:tcPr>
            <w:tcW w:type="dxa" w:w="4320"/>
          </w:tcPr>
          <w:p>
            <w:r>
              <w:t>Large particles (0.4-5 μm) with nanometer-sized particles ADDED to them. These are structurally hybrid materials, NOT true nanofilled composites, despite frequently being marketed with "nano" in the product name.</w:t>
            </w:r>
          </w:p>
        </w:tc>
      </w:tr>
    </w:tbl>
    <w:p>
      <w:r>
        <w:t>One genuine optical advantage of a TRUE nanofill: since all its particles sit below the wavelength of visible light (400-800 nm), the composite can achieve high polish and translucency simultaneously with good mechanical properties — a nanohybrid, still containing larger 0.4-5 μm particles, does not get this same optical benefit even if it is marketed under similar "nano" branding. [2, p.140]</w:t>
      </w:r>
    </w:p>
    <w:p>
      <w:pPr>
        <w:pStyle w:val="Heading2"/>
      </w:pPr>
      <w:r>
        <w:t>A Skeptical Second Opinion on "Nanocomposite" as a Category (McCabe's)</w:t>
      </w:r>
    </w:p>
    <w:p>
      <w:r>
        <w:t>Craig's treatment above draws a real, technically precise line between true nanofills (all particles 1-100 nm) and nanohybrids (larger 0.4-5 μm particles with nanoparticles added). McCabe's takes a more skeptical view of the classification's clinical usefulness overall — worth presenting honestly as a genuine difference in emphasis between two standard sources, not resolved as one being simply "right." [4, p.201]</w:t>
      </w:r>
    </w:p>
    <w:p>
      <w:r>
        <w:t>McCabe's position: modern composite manufacturing increasingly uses wet techniques (including sol-gel technology) and jet-blasting methods, in which streams of powder are fired at other streams specifically to reduce and control particle size and shape — giving manufacturers fine-grained control over filler composition. As a direct consequence, the traditional boundaries between conventional, microfilled, and hybrid products can no longer always be clearly identified in a modern product line. Composites built from particles averaging under 1 μm are often marketed by manufacturers as "nanocomposites" — but McCabe's explicit position is that the essential characteristics of such materials are already adequately captured within the existing microfilled and hybrid categories, WITHOUT needing to treat "nanocomposite" as an entirely new class of product. [4, p.201]</w:t>
      </w:r>
    </w:p>
    <w:p>
      <w:r>
        <w:rPr>
          <w:b/>
        </w:rPr>
        <w:t xml:space="preserve">How to hold both views honestly: </w:t>
      </w:r>
      <w:r>
        <w:t>Craig's distinction between true nanofills and nanohybrids is technically accurate and clinically useful for understanding WHY a true nanofill achieves both high polish and good strength simultaneously (Section above). McCabe's point is a separate, valid one: that the marketing category "nanocomposite" is often applied loosely across products that, mechanistically, still behave as conventional microfilled or hybrid materials — meaning a product's "nano" branding is not, by itself, reliable evidence that it possesses the true-nanofill particle architecture Craig's describes. Both points can be true at once: the underlying materials science is real and precise, while the marketing terminology built on top of it is frequently imprecise.</w:t>
      </w:r>
    </w:p>
    <w:p>
      <w:pPr>
        <w:pStyle w:val="Heading2"/>
      </w:pPr>
      <w:r>
        <w:t>A Real Comparative Table — Particle Size, Filler Volume, and Clinical Trade-offs by Composite Category</w:t>
      </w:r>
    </w:p>
    <w:p>
      <w:r>
        <w:t>Beyond the pure particle-size classification above, Craig's gives a genuinely useful clinical-decision table comparing composite CATEGORIES by their actual formulation trade-offs: [2, p.148]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Particle size (μm)</w:t>
            </w:r>
          </w:p>
        </w:tc>
        <w:tc>
          <w:tcPr>
            <w:tcW w:type="dxa" w:w="2160"/>
          </w:tcPr>
          <w:p>
            <w:r>
              <w:t>Filler volume (%)</w:t>
            </w:r>
          </w:p>
        </w:tc>
        <w:tc>
          <w:tcPr>
            <w:tcW w:type="dxa" w:w="2160"/>
          </w:tcPr>
          <w:p>
            <w:r>
              <w:t>Advantage / Disadvantage</w:t>
            </w:r>
          </w:p>
        </w:tc>
      </w:tr>
      <w:tr>
        <w:tc>
          <w:tcPr>
            <w:tcW w:type="dxa" w:w="2160"/>
          </w:tcPr>
          <w:p>
            <w:r>
              <w:t>Multipurpose</w:t>
            </w:r>
          </w:p>
        </w:tc>
        <w:tc>
          <w:tcPr>
            <w:tcW w:type="dxa" w:w="2160"/>
          </w:tcPr>
          <w:p>
            <w:r>
              <w:t>0.04, 0.2–3.0</w:t>
            </w:r>
          </w:p>
        </w:tc>
        <w:tc>
          <w:tcPr>
            <w:tcW w:type="dxa" w:w="2160"/>
          </w:tcPr>
          <w:p>
            <w:r>
              <w:t>60–70</w:t>
            </w:r>
          </w:p>
        </w:tc>
        <w:tc>
          <w:tcPr>
            <w:tcW w:type="dxa" w:w="2160"/>
          </w:tcPr>
          <w:p>
            <w:r>
              <w:t>High strength, high modulus / (general purpose, no major listed disadvantage)</w:t>
            </w:r>
          </w:p>
        </w:tc>
      </w:tr>
      <w:tr>
        <w:tc>
          <w:tcPr>
            <w:tcW w:type="dxa" w:w="2160"/>
          </w:tcPr>
          <w:p>
            <w:r>
              <w:t>Nanocomposite</w:t>
            </w:r>
          </w:p>
        </w:tc>
        <w:tc>
          <w:tcPr>
            <w:tcW w:type="dxa" w:w="2160"/>
          </w:tcPr>
          <w:p>
            <w:r>
              <w:t>0.002–0.075</w:t>
            </w:r>
          </w:p>
        </w:tc>
        <w:tc>
          <w:tcPr>
            <w:tcW w:type="dxa" w:w="2160"/>
          </w:tcPr>
          <w:p>
            <w:r>
              <w:t>72–79</w:t>
            </w:r>
          </w:p>
        </w:tc>
        <w:tc>
          <w:tcPr>
            <w:tcW w:type="dxa" w:w="2160"/>
          </w:tcPr>
          <w:p>
            <w:r>
              <w:t>High polish, high strength, high modulus, polish retention / —</w:t>
            </w:r>
          </w:p>
        </w:tc>
      </w:tr>
      <w:tr>
        <w:tc>
          <w:tcPr>
            <w:tcW w:type="dxa" w:w="2160"/>
          </w:tcPr>
          <w:p>
            <w:r>
              <w:t>Microfilled</w:t>
            </w:r>
          </w:p>
        </w:tc>
        <w:tc>
          <w:tcPr>
            <w:tcW w:type="dxa" w:w="2160"/>
          </w:tcPr>
          <w:p>
            <w:r>
              <w:t>0.04</w:t>
            </w:r>
          </w:p>
        </w:tc>
        <w:tc>
          <w:tcPr>
            <w:tcW w:type="dxa" w:w="2160"/>
          </w:tcPr>
          <w:p>
            <w:r>
              <w:t>32–50</w:t>
            </w:r>
          </w:p>
        </w:tc>
        <w:tc>
          <w:tcPr>
            <w:tcW w:type="dxa" w:w="2160"/>
          </w:tcPr>
          <w:p>
            <w:r>
              <w:t>Best polish, best esthetics / Higher shrinkage, lower strength</w:t>
            </w:r>
          </w:p>
        </w:tc>
      </w:tr>
      <w:tr>
        <w:tc>
          <w:tcPr>
            <w:tcW w:type="dxa" w:w="2160"/>
          </w:tcPr>
          <w:p>
            <w:r>
              <w:t>Bulk filled</w:t>
            </w:r>
          </w:p>
        </w:tc>
        <w:tc>
          <w:tcPr>
            <w:tcW w:type="dxa" w:w="2160"/>
          </w:tcPr>
          <w:p>
            <w:r>
              <w:t>0.04, 0.2–20</w:t>
            </w:r>
          </w:p>
        </w:tc>
        <w:tc>
          <w:tcPr>
            <w:tcW w:type="dxa" w:w="2160"/>
          </w:tcPr>
          <w:p>
            <w:r>
              <w:t>59–80</w:t>
            </w:r>
          </w:p>
        </w:tc>
        <w:tc>
          <w:tcPr>
            <w:tcW w:type="dxa" w:w="2160"/>
          </w:tcPr>
          <w:p>
            <w:r>
              <w:t>Deep cure, reduced clinical steps / Questionable marginal adaptation</w:t>
            </w:r>
          </w:p>
        </w:tc>
      </w:tr>
      <w:tr>
        <w:tc>
          <w:tcPr>
            <w:tcW w:type="dxa" w:w="2160"/>
          </w:tcPr>
          <w:p>
            <w:r>
              <w:t>Flowable</w:t>
            </w:r>
          </w:p>
        </w:tc>
        <w:tc>
          <w:tcPr>
            <w:tcW w:type="dxa" w:w="2160"/>
          </w:tcPr>
          <w:p>
            <w:r>
              <w:t>0.04, 0.2–3.0</w:t>
            </w:r>
          </w:p>
        </w:tc>
        <w:tc>
          <w:tcPr>
            <w:tcW w:type="dxa" w:w="2160"/>
          </w:tcPr>
          <w:p>
            <w:r>
              <w:t>42–62</w:t>
            </w:r>
          </w:p>
        </w:tc>
        <w:tc>
          <w:tcPr>
            <w:tcW w:type="dxa" w:w="2160"/>
          </w:tcPr>
          <w:p>
            <w:r>
              <w:t>Syringeable, lower modulus / Higher wear</w:t>
            </w:r>
          </w:p>
        </w:tc>
      </w:tr>
      <w:tr>
        <w:tc>
          <w:tcPr>
            <w:tcW w:type="dxa" w:w="2160"/>
          </w:tcPr>
          <w:p>
            <w:r>
              <w:t>Laboratory (indirect)</w:t>
            </w:r>
          </w:p>
        </w:tc>
        <w:tc>
          <w:tcPr>
            <w:tcW w:type="dxa" w:w="2160"/>
          </w:tcPr>
          <w:p>
            <w:r>
              <w:t>0.04, 0.2–3.0</w:t>
            </w:r>
          </w:p>
        </w:tc>
        <w:tc>
          <w:tcPr>
            <w:tcW w:type="dxa" w:w="2160"/>
          </w:tcPr>
          <w:p>
            <w:r>
              <w:t>60–70</w:t>
            </w:r>
          </w:p>
        </w:tc>
        <w:tc>
          <w:tcPr>
            <w:tcW w:type="dxa" w:w="2160"/>
          </w:tcPr>
          <w:p>
            <w:r>
              <w:t>Best anatomy and contacts, lower wear / Laboratory cost, special equipment, requires resin cement</w:t>
            </w:r>
          </w:p>
        </w:tc>
      </w:tr>
    </w:tbl>
    <w:p>
      <w:r>
        <w:t>This table makes an important point that pure particle-size classification alone does not: filler volume percentage varies almost as much WITHIN a given size classification as across classifications (e.g. "Microfilled" spans 32-50% filler volume) — meaning particle size and filler LOADING are two genuinely separate design variables a manufacturer tunes independently, and the clinical trade-off (esthetics vs. strength vs. shrinkage vs. wear) tracks filler loading and particle-size distribution together, not particle size alone. [2, p.148]</w:t>
      </w:r>
    </w:p>
    <w:p>
      <w:r>
        <w:br w:type="page"/>
      </w:r>
    </w:p>
    <w:p>
      <w:pPr>
        <w:pStyle w:val="Heading2"/>
      </w:pPr>
      <w:r>
        <w:t>Packable and Flowable Composites — Real Composition and Property Data (Restorative Dental Materials, Michigan)</w:t>
      </w:r>
    </w:p>
    <w:p>
      <w:r>
        <w:t>Packable composites are specifically recommended for Class I, II, and VI (MOD) preparations. Their packability comes from BOTH filler architecture and resin modification working together: they use light-activated dimethacrylate resins with fillers (fibers, or porous/irregular particles) at a filler loading of 66-70% by volume — it is specifically the INTERACTION between these filler particles and the modified resin, not filler loading alone, that produces packable handling. [6, p.246]</w:t>
      </w:r>
    </w:p>
    <w:p>
      <w:r>
        <w:rPr>
          <w:b/>
        </w:rPr>
        <w:t xml:space="preserve">A real, direct comparison to amalgam worth knowing precisely: </w:t>
      </w:r>
      <w:r>
        <w:t>packable composites combine high depth of cure, low polymerization shrinkage, radiopacity, and a low wear rate of 3.5 μm/year — a figure SIMILAR to that of amalgam itself, directly relevant to the amalgam-vs-composite longevity comparisons already established in Module 1. A genuinely honest caveat worth keeping: although manufacturers recommend a bulk-fill technique for these materials, this has NOT yet been demonstrated effective in clinical studies — a real gap between manufacturer claims and confirmed clinical evidence, not yet resolved as of this source. Single-bottle bonding agents are recommended specifically for use with packable composites. [6, p.247]</w:t>
      </w:r>
    </w:p>
    <w:p>
      <w:r>
        <w:rPr>
          <w:b/>
        </w:rPr>
        <w:t xml:space="preserve">Flowable composites — real particle-size and filler-loading numbers, and the mechanistic reason for their properties: </w:t>
      </w:r>
      <w:r>
        <w:t>recommended for cervical lesions, pediatric restorations, and other small, low-stress-bearing restorations. They contain dimethacrylate resin with inorganic filler of particle size 0.7-3.0 μm and filler loading of only 42-53% by volume — genuinely lower than the packable composites above. This lower filler content is the direct cause of two of their defining properties: a low modulus of elasticity (useful specifically in cervical abfraction areas, where flexure accommodation matters — directly connecting to the GIC low-modulus rationale already covered in this sub-module's GIC-adjacent content elsewhere in the module), and — as the trade-off — HIGHER polymerization shrinkage and LOWER wear resistance than microhybrid composites. Their low viscosity allows syringe dispensing for easy handling, which is the practical reason they're chosen for hard-to-access cervical sites in the first place. [6, p.247]</w:t>
      </w:r>
    </w:p>
    <w:p>
      <w:pPr>
        <w:pStyle w:val="Heading1"/>
      </w:pPr>
      <w:r>
        <w:t>2.3.3 Other Polymers in Dentistry</w:t>
      </w:r>
    </w:p>
    <w:p>
      <w:pPr>
        <w:pStyle w:val="Heading2"/>
      </w:pPr>
      <w:r>
        <w:t>Acrylic Resin (PMMA) — Denture Base Processing</w:t>
      </w:r>
    </w:p>
    <w:p>
      <w:r>
        <w:t>Since the mid-1940s, the majority of denture bases have been fabricated from polymethyl methacrylate (PMMA). Pure PMMA is a colorless, transparent solid, but can be tinted to essentially any color/shade/translucency for dental use; its optical and dimensional properties remain stable under normal intraoral conditions. Its main practical advantage is ease of processing: it is typically supplied as a powder-liquid system — the powder contains predominantly prepolymerized PMMA in micro-sized bead/sphere form, the liquid is predominantly nonpolymerized methyl methacrylate monomer — mixed in proper proportion to form a workable mass, then introduced into a mold and polymerized. [1, p.474]</w:t>
      </w:r>
    </w:p>
    <w:p>
      <w:r>
        <w:rPr>
          <w:b/>
        </w:rPr>
        <w:t xml:space="preserve">Three distinct activation routes, with genuinely different trade-offs: </w:t>
      </w:r>
    </w:p>
    <w:tbl>
      <w:tblPr>
        <w:tblStyle w:val="LightGrid-Accent1"/>
        <w:tblW w:type="auto" w:w="0"/>
        <w:tblLook w:firstColumn="1" w:firstRow="1" w:lastColumn="0" w:lastRow="0" w:noHBand="0" w:noVBand="1" w:val="04A0"/>
      </w:tblPr>
      <w:tblGrid>
        <w:gridCol w:w="4320"/>
        <w:gridCol w:w="4320"/>
      </w:tblGrid>
      <w:tr>
        <w:tc>
          <w:tcPr>
            <w:tcW w:type="dxa" w:w="4320"/>
          </w:tcPr>
          <w:p>
            <w:r>
              <w:t>Activation method</w:t>
            </w:r>
          </w:p>
        </w:tc>
        <w:tc>
          <w:tcPr>
            <w:tcW w:type="dxa" w:w="4320"/>
          </w:tcPr>
          <w:p>
            <w:r>
              <w:t>Key characteristics</w:t>
            </w:r>
          </w:p>
        </w:tc>
      </w:tr>
      <w:tr>
        <w:tc>
          <w:tcPr>
            <w:tcW w:type="dxa" w:w="4320"/>
          </w:tcPr>
          <w:p>
            <w:r>
              <w:t>Heat-activated</w:t>
            </w:r>
          </w:p>
        </w:tc>
        <w:tc>
          <w:tcPr>
            <w:tcW w:type="dxa" w:w="4320"/>
          </w:tcPr>
          <w:p>
            <w:r>
              <w:t>Used for nearly all denture bases. Powder contains prepolymerized PMMA spheres PLUS a small amount of benzoyl peroxide (the initiator, which starts polymerization once heat is applied). Liquid is predominantly monomer with a small amount of hydroquinone (the inhibitor, which prevents premature polymerization during storage and thereby extends working time/shelf life). Thermal energy is supplied via water bath or microwave oven.</w:t>
            </w:r>
          </w:p>
        </w:tc>
      </w:tr>
      <w:tr>
        <w:tc>
          <w:tcPr>
            <w:tcW w:type="dxa" w:w="4320"/>
          </w:tcPr>
          <w:p>
            <w:r>
              <w:t>Chemically activated (cold-cure)</w:t>
            </w:r>
          </w:p>
        </w:tc>
        <w:tc>
          <w:tcPr>
            <w:tcW w:type="dxa" w:w="4320"/>
          </w:tcPr>
          <w:p>
            <w:r>
              <w:t>Polymerizes without external heat. Faster processing is the major advantage, but overheating can still occur internally in thick sections, boiling the monomer and producing porosity. A lengthy initiation period is actually DESIRABLE here (allows time for trial closures) and can be prolonged by refrigerating the liquid/mixing vessel before mixing. A genuine downside: chemically activated resins show inferior long-term color stability versus heat-activated resins, because they contain tertiary amines (needed for the room-temperature activation chemistry) that are susceptible to oxidation and consequent discoloration — partially mitigated by adding stabilizing agents.</w:t>
            </w:r>
          </w:p>
        </w:tc>
      </w:tr>
      <w:tr>
        <w:tc>
          <w:tcPr>
            <w:tcW w:type="dxa" w:w="4320"/>
          </w:tcPr>
          <w:p>
            <w:r>
              <w:t>Light-activated</w:t>
            </w:r>
          </w:p>
        </w:tc>
        <w:tc>
          <w:tcPr>
            <w:tcW w:type="dxa" w:w="4320"/>
          </w:tcPr>
          <w:p>
            <w:r>
              <w:t>A third, less-common processing route referenced in Philips' but with less clinical dominance than the heat- or chemically-activated routes.</w:t>
            </w:r>
          </w:p>
        </w:tc>
      </w:tr>
    </w:tbl>
    <w:p>
      <w:r>
        <w:rPr>
          <w:i/>
        </w:rPr>
        <w:t>Source: [1, p.475] / [1, p.483]</w:t>
      </w:r>
    </w:p>
    <w:p>
      <w:r>
        <w:t>A specific microwave-processing note: microwave-cured heat-activated resins have physical properties and fit comparable to conventional water-bath compression molding, with speed as the main advantage — but overheating in thick sections remains a real risk with either heating method, since it is a bulk/thermal-mass problem, not specific to the heat source used. [1, p.483]</w:t>
      </w:r>
    </w:p>
    <w:p>
      <w:pPr>
        <w:pStyle w:val="Heading2"/>
      </w:pPr>
      <w:r>
        <w:t>Polycarbonate — A Real Provisional-Crown Technique (Advanced Operative Dentistry)</w:t>
      </w:r>
    </w:p>
    <w:p>
      <w:r>
        <w:t>Polycarbonate provisional crowns are tooth-colored preformed "shells" sized to fit the general morphology of anterior and bicuspid teeth — a product category that has been in clinical use for more than 35 years. [3, p.183]</w:t>
      </w:r>
    </w:p>
    <w:p>
      <w:r>
        <w:rPr>
          <w:b/>
        </w:rPr>
        <w:t xml:space="preserve">The technique, step by step: </w:t>
      </w:r>
      <w:r>
        <w:t>a polycarbonate shell is selected slightly LARGER than the actual preparation, then pared back with a bur (e.g. a large pink stone) until it seats fully over the prepared tooth without impinging on the gingiva. Petroleum jelly is applied to the preparation as a separating medium, and an acrylic sub-lining resin (e.g. Trim, a PEMA temporary resin acrylic) is placed inside the shell's fit surface before it is seated. Once the acrylic reaches a granular/dough consistency (NOT full set), the shell is carefully removed and reseated once, then finally removed to let the acrylic fully polymerize OUTSIDE the mouth — a timing step structurally analogous to the "rubbery stage" removal window already covered for bis-acryl provisionals in Module 1's Sub-Module 5.3. [3, p.183]</w:t>
      </w:r>
    </w:p>
    <w:p>
      <w:r>
        <w:t>A genuine clinical fit-check built into the technique: if the finished provisional is overbuilt, gingival blanching occurs on seating — a visible, immediate signal that further trimming is needed, rather than requiring a separate fit-assessment step. [3, p.183]</w:t>
      </w:r>
    </w:p>
    <w:p>
      <w:r>
        <w:t>A related material used the same way: clear plastic crown forms, which can be filled with bis-acryl composite resin (rather than an acrylic sub-liner) specifically for use within the visible smile line, and trimmed with scissors since they are thin — offering a genuinely different esthetic/handling trade-off from the tooth-colored polycarbonate shell. [3, p.183]</w:t>
      </w:r>
    </w:p>
    <w:p>
      <w:r>
        <w:t>Both preformed-shell approaches share the same two structural limitations: a preformed crown is unlikely to fit accurately at the cervical, occlusal, and interdental margins without chairside adjustment, and a large inventory of shell sizes/shapes is required to cover realistic clinical variation. Their genuine value is specifically for situations where NO pre-preparation impression exists to build a custom provisional from — the clearest example being a trauma patient presenting with significant coronal tooth loss and no baseline impression on record. [3, p.183]</w:t>
      </w:r>
    </w:p>
    <w:p>
      <w:r>
        <w:br w:type="page"/>
      </w:r>
    </w:p>
    <w:p>
      <w:pPr>
        <w:pStyle w:val="Heading1"/>
      </w:pPr>
      <w:r>
        <w:t>References</w:t>
      </w:r>
    </w:p>
    <w:p>
      <w:r>
        <w:t>1. Anusavice KJ, Shen C, Rawls HR, eds. Philips' Science of Dental Materials. 13th ed. St. Louis: Elsevier; 2013.</w:t>
      </w:r>
    </w:p>
    <w:p>
      <w:r>
        <w:t>2. Sakaguchi RL, Ferracane JL, Powers JM. Craig's Restorative Dental Materials. 14th ed. St. Louis: Elsevier; 2019.</w:t>
      </w:r>
    </w:p>
    <w:p>
      <w:r>
        <w:t>3. Ricketts D, ed. Advanced Operative Dentistry: A Practical Approach. Edinburgh: Churchill Livingstone/Elsevier; 2011.</w:t>
      </w:r>
    </w:p>
    <w:p>
      <w:r>
        <w:t>4. McCabe JF, Walls AWG. Applied Dental Materials. 9th ed. Oxford: Blackwell Publishing; 2008.</w:t>
      </w:r>
    </w:p>
    <w:p>
      <w:r>
        <w:t>5. van Noort R, Barbour M. Introduction to Dental Materials. 4th ed. Edinburgh: Mosby Elsevier; 2013.</w:t>
      </w:r>
    </w:p>
    <w:p>
      <w:r>
        <w:t>6.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