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3.1: Adhesion Mechanisms</w:t>
      </w:r>
    </w:p>
    <w:p>
      <w:r>
        <w:t>Module 3: Dental Materials &amp; Material Science | Sub-Module 3.1</w:t>
      </w:r>
    </w:p>
    <w:p/>
    <w:p>
      <w:pPr>
        <w:pStyle w:val="Heading2"/>
      </w:pPr>
      <w:r>
        <w:t>Note on Sources</w:t>
      </w:r>
    </w:p>
    <w:p>
      <w:r>
        <w:t xml:space="preserve">Sources used in this document: </w:t>
      </w:r>
      <w:r>
        <w:t>[1] Craig's Restorative Dental Materials (14th ed.) — the sole new source, providing real, quantified content on bonding to cast alloys and crystalline ceramics not previously covered.</w:t>
      </w:r>
      <w:r>
        <w:t xml:space="preserve"> [2] McCabe JF, Walls AWG. Applied Dental Materials (9th ed.) — a second, complementary mechanism for why aged composite resists bonding, an intraoral silicoating repair technique, and real bond-strength data plus alternative surface-preparation methods for metal-to-resin bonding.</w:t>
      </w:r>
      <w:r>
        <w:t xml:space="preserve"> [3] Bonsor SJ, Pearson GJ. A Clinical Guide to Applied Dental Materials — a real, specific enamel-bond failure mechanism (resin-tag "necking" during polymerization shrinkage) not previously covered. Cited by PDF page number, per the skill's fallback convention for this source.</w:t>
      </w:r>
      <w:r>
        <w:t xml:space="preserve"> [4] Craig RG, ed. Restorative Dental Materials (11th ed., University of Michigan) — a clean five-criteria framework for adhesive-joint formation, and the genuinely important clarification that most dental restorative bonding is mechanical, not true chemical, adhesion.</w:t>
      </w:r>
      <w:r>
        <w:t xml:space="preserve"> [5] Alani A, Patel M. Adhesive Techniques in Restorative Dentistry (BDJ Clinician's Guides). A genuinely modern (2020s) clinical source giving real, exact substrate-specific surface-treatment protocols across seven different restorative materials, consolidating the mechanism-level content already built above into concrete, step-by-step clinical sequences.</w:t>
      </w:r>
    </w:p>
    <w:p>
      <w:r>
        <w:rPr>
          <w:b/>
        </w:rPr>
        <w:t xml:space="preserve">Revision note: </w:t>
      </w:r>
      <w:r>
        <w:t>the user asked whether McCabe's — on the standing Module 3 secondary source list — had been checked for this sub-module; it had not been. It adds real, distinct content to Section 3.1.3 specifically: a second mechanism for aged-composite bond failure (water imbibition/swelling, complementary to Craig's account), an intraoral tribomechanical silicoating repair technique, and — most substantially — real quantified bond-strength data plus two alternative metal-surface-preparation techniques (naturally-formed oxide bonding for base metals; a 400°C copper-oxide-generation heat treatment for precious alloys) not found in Craig's. Both additions below.</w:t>
      </w:r>
    </w:p>
    <w:p>
      <w:r>
        <w:rPr>
          <w:b/>
        </w:rPr>
        <w:t xml:space="preserve">Second revision note: </w:t>
      </w:r>
      <w:r>
        <w:t>continuing the audit of the newly-supplied textbooks against sub-modules given only a light check earlier. Bonsor &amp; Pearson's has a genuinely specific enamel-bond failure mechanism — resin-tag "necking" during polymerization shrinkage — not previously covered anywhere in this library. Added below within Section 3.1.1's continuity summary.</w:t>
      </w:r>
    </w:p>
    <w:p>
      <w:r>
        <w:rPr>
          <w:b/>
        </w:rPr>
        <w:t xml:space="preserve">Fourth revision note: </w:t>
      </w:r>
      <w:r>
        <w:t>the user supplied a genuinely modern textbook, Adhesive Techniques in Restorative Dentistry (Alani &amp; Patel, BDJ Clinician's Guides). It gives real, exact, substrate-by-substrate surface-treatment protocols — steam-clean/sandblast/alcohol-clean/primer/cement-load sequences with real timing — that consolidate everything this sub-module has covered mechanistically into concrete clinical steps. Added below as a new Section 3.1.4.</w:t>
      </w:r>
    </w:p>
    <w:p>
      <w:r>
        <w:rPr>
          <w:b/>
        </w:rPr>
        <w:t xml:space="preserve">Third revision note: </w:t>
      </w:r>
      <w:r>
        <w:t>the user supplied a fifth new textbook, Restorative Dental Materials (Craig, ed., 11th ed., University of Michigan) — distinct from the 14th-edition Craig's already used. Its dedicated "Bonding to Dental Substrates" chapter (Bayne) gives a clean, general five-criteria framework for how ANY adhesive joint forms, applicable across every substrate covered in this sub-module, plus a genuinely important clarification often left implicit: true chemical bonding is rarely achieved in dental restorative bonding — most of what is called "adhesion" in dentistry is actually mechanical interlocking. Added below as new foundational content preceding the enamel/dentin cross-references.</w:t>
      </w:r>
    </w:p>
    <w:p>
      <w:r>
        <w:rPr>
          <w:b/>
        </w:rPr>
        <w:t xml:space="preserve">A major cross-reference note — please read before the rest of this document: </w:t>
      </w:r>
      <w:r>
        <w:t>this sub-module's own outline (3.1.1 Adhesion to Enamel, 3.1.2 Adhesion to Dentin) is, almost topic-for-topic, the same scope already built in full — with real quantified bond-strength data, etch-pattern mechanisms, the hybrid layer, MMP-mediated bond degradation, and application protocol — in Module 1's Sub-Module 3.2 (Adhesive Systems &amp; Bonding). Rebuilding that content here would be pure duplication rather than genuinely new study material. Sections 1 and 2 below therefore CROSS-REFERENCE that existing document rather than repeat it, with only a short structural summary given here for continuity. Section 3 (Adhesion to Restorative Materials) is built in full, since that specific topic — bonding resin to metal, to crystalline (non-etchable) ceramics, and repairing already-placed restorations — was NOT previously covered anywhere in this library.</w:t>
      </w:r>
    </w:p>
    <w:p>
      <w:r>
        <w:br w:type="page"/>
      </w:r>
    </w:p>
    <w:p>
      <w:pPr>
        <w:pStyle w:val="Heading1"/>
      </w:pPr>
      <w:r>
        <w:t>Foundational Framework — What Any Dental Adhesive Joint Actually Requires (Restorative Dental Materials, Michigan)</w:t>
      </w:r>
    </w:p>
    <w:p>
      <w:r>
        <w:t>Before the substrate-specific sections below, it's worth establishing the general framework: an adhesive joint forms between an ADHEREND (the substrate) and an ADHESIVE (the material producing the interface). Most dental adhesive joints — a bonded composite restoration, for instance — actually involve TWO interfaces, not one (tooth-to-adhesive AND adhesive-to-restorative-material), which is why dental bonding so often requires multiple component layers referred to collectively as a bonding agent, rather than a single adhesive material. [4, p.269]</w:t>
      </w:r>
    </w:p>
    <w:p>
      <w:r>
        <w:rPr>
          <w:b/>
        </w:rPr>
        <w:t xml:space="preserve">Five conditions required for an optimally bonded interface — a genuinely useful checklist applicable to every substrate covered below: </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Why it matters</w:t>
            </w:r>
          </w:p>
        </w:tc>
      </w:tr>
      <w:tr>
        <w:tc>
          <w:tcPr>
            <w:tcW w:type="dxa" w:w="4320"/>
          </w:tcPr>
          <w:p>
            <w:r>
              <w:t>1. Clean substrate surface</w:t>
            </w:r>
          </w:p>
        </w:tc>
        <w:tc>
          <w:tcPr>
            <w:tcW w:type="dxa" w:w="4320"/>
          </w:tcPr>
          <w:p>
            <w:r>
              <w:t>Oral surfaces carry an adsorbed pellicle from saliva, often further contaminated by plaque or food/stain components — this must be removed before bonding, and (since a freshly cleaned surface has HIGHER surface energy) it readily re-adsorbs contamination from air or saliva if not bonded to promptly.</w:t>
            </w:r>
          </w:p>
        </w:tc>
      </w:tr>
      <w:tr>
        <w:tc>
          <w:tcPr>
            <w:tcW w:type="dxa" w:w="4320"/>
          </w:tcPr>
          <w:p>
            <w:r>
              <w:t>2. Good wetting</w:t>
            </w:r>
          </w:p>
        </w:tc>
        <w:tc>
          <w:tcPr>
            <w:tcW w:type="dxa" w:w="4320"/>
          </w:tcPr>
          <w:p>
            <w:r>
              <w:t>Low contact angle and spreading onto the surface (Sub-Module 1.2's wettability content applies directly) — clean dentin is hydrophilic and is best wetted by an adhesive that is also hydrophilic; solvent is added to lower adhesive viscosity and promote flow, though this is not always achievable in poorly accessible or very thin-film areas.</w:t>
            </w:r>
          </w:p>
        </w:tc>
      </w:tr>
      <w:tr>
        <w:tc>
          <w:tcPr>
            <w:tcW w:type="dxa" w:w="4320"/>
          </w:tcPr>
          <w:p>
            <w:r>
              <w:t>3. Intimate adaptation without entrapped air</w:t>
            </w:r>
          </w:p>
        </w:tc>
        <w:tc>
          <w:tcPr>
            <w:tcW w:type="dxa" w:w="4320"/>
          </w:tcPr>
          <w:p>
            <w:r>
              <w:t>The adhesive must contact the substrate closely enough for bonding to occur, without air bubbles or other material trapped at the interface.</w:t>
            </w:r>
          </w:p>
        </w:tc>
      </w:tr>
      <w:tr>
        <w:tc>
          <w:tcPr>
            <w:tcW w:type="dxa" w:w="4320"/>
          </w:tcPr>
          <w:p>
            <w:r>
              <w:t>4. Sufficient bond strength to resist intraoral debonding forces</w:t>
            </w:r>
          </w:p>
        </w:tc>
        <w:tc>
          <w:tcPr>
            <w:tcW w:type="dxa" w:w="4320"/>
          </w:tcPr>
          <w:p>
            <w:r>
              <w:t>The interface must have adequate physical, chemical, and/or mechanical strength for the loads it will actually face in service.</w:t>
            </w:r>
          </w:p>
        </w:tc>
      </w:tr>
      <w:tr>
        <w:tc>
          <w:tcPr>
            <w:tcW w:type="dxa" w:w="4320"/>
          </w:tcPr>
          <w:p>
            <w:r>
              <w:t>5. Adequate cure under the recommended conditions</w:t>
            </w:r>
          </w:p>
        </w:tc>
        <w:tc>
          <w:tcPr>
            <w:tcW w:type="dxa" w:w="4320"/>
          </w:tcPr>
          <w:p>
            <w:r>
              <w:t>An under-cured adhesive will not achieve the retention or sealing its formulation is capable of, regardless of how well the first four conditions were met.</w:t>
            </w:r>
          </w:p>
        </w:tc>
      </w:tr>
    </w:tbl>
    <w:p>
      <w:r>
        <w:rPr>
          <w:i/>
        </w:rPr>
        <w:t>Source: [4, p.270]</w:t>
      </w:r>
    </w:p>
    <w:p>
      <w:r>
        <w:rPr>
          <w:b/>
        </w:rPr>
        <w:t xml:space="preserve">A genuinely important honest clarification — most dental "adhesion" is mechanical, not chemical: </w:t>
      </w:r>
      <w:r>
        <w:t>for TRUE chemical bonding, the distance between adhesive and substrate must be less than a few angstroms, with a high density of new chemical bonds forming along the entire interface. This condition is RARELY met in practice. As a direct consequence, bonding of dental restorative materials is, in reality, mostly MECHANICAL bonding — adhesive interlocking with surface irregularities, whether naturally present from cavity preparation or deliberately created by sandblasting or etching. This is worth stating plainly because clinical and marketing language routinely uses "bond" and "adhesion" as if true chemical bonding were the norm, when the mechanistic reality for most dental adhesive joints covered in this sub-module (enamel/dentin resin tags, ceramic silane coupling, metal surface roughening) is predominantly micromechanical interlocking, with genuine chemical contribution playing a smaller, supplementary role even where it exists (e.g. 10-MDP/4-META bonding to residual hydroxyapatite, covered above). [4, p.270]</w:t>
      </w:r>
    </w:p>
    <w:p>
      <w:r>
        <w:rPr>
          <w:b/>
        </w:rPr>
        <w:t xml:space="preserve">Debonding — how these joints actually fail, tying together the substrate-specific failure mechanisms covered below: </w:t>
      </w:r>
      <w:r>
        <w:t>debonding occurs through crack formation and propagation at INTERFACE DEFECTS — real, named examples include interfacial contamination, excess moisture, trapped air bubbles, voids formed during solvent evaporation, areas of poor wetting, bubbles within the adhesive itself, and curing-shrinkage-induced pores. This is the same general defect-driven failure logic behind the specific resin-tag-necking mechanism (Section 3.1.1 below) and the aged-composite bonding failures (Section 3.1.3 below) — each substrate-specific failure mode covered in this sub-module is, at bottom, a specific instance of this same general crack-at-a-defect debonding process. [4, p.271]</w:t>
      </w:r>
    </w:p>
    <w:p>
      <w:pPr>
        <w:pStyle w:val="Heading1"/>
      </w:pPr>
      <w:r>
        <w:t>3.1.1 Adhesion to Enamel — Cross-Reference</w:t>
      </w:r>
    </w:p>
    <w:p>
      <w:r>
        <w:rPr>
          <w:b/>
        </w:rPr>
        <w:t>Full treatment: Module 1, Sub-Module 3.2, Sections 2.2-2.3 and 4.</w:t>
      </w:r>
    </w:p>
    <w:p>
      <w:r>
        <w:t>Summary for continuity: phosphoric acid (30-40%, 15-40 seconds) demineralizes enamel, exposing the prism structure and creating a micro-retentive pattern that resin flows into and mechanically interlocks with on setting. Buonocore's original 1959 discovery is the historical basis for this entire technique. Etching increases enamel's bondable surface area by up to 2000-fold, and produces both macrotags (forming between prism peripheries) and microtags (forming within prism cores) — together responsible for the mechanical interlock. Enamel bonding is genuinely dentistry's most reliable adhesive procedure, with real long-term retention data behind it, and remains excellent even under the newer self-etch/universal-adhesive systems ONLY when the etch step used on enamel is strong enough (a strong self-etch system, or a selective phosphoric-acid pre-etch of enamel specifically) — this is why "selective enamel etching" persists as a recommendation even for products marketed as fully self-etch.</w:t>
      </w:r>
    </w:p>
    <w:p>
      <w:pPr>
        <w:pStyle w:val="Heading2"/>
      </w:pPr>
      <w:r>
        <w:t>A Specific Enamel Resin-Tag Failure Mechanism Not Previously Covered (Bonsor &amp; Pearson)</w:t>
      </w:r>
    </w:p>
    <w:p>
      <w:r>
        <w:t>Resin tags formed after enamel etching impregnate the enamel surface to a depth of roughly 30 μm, consistent with the etch-depth figures already established elsewhere in this library. During the polymerization of the bonding resin, however, the resin tags themselves SHRINK — and they have a genuine tendency to "neck" during this shrinkage, meaning the resin tag becomes NARROWER than the aperture it is occupying, specifically at the point just beneath the enamel surface. [3, PDF p.370]</w:t>
      </w:r>
    </w:p>
    <w:p>
      <w:r>
        <w:rPr>
          <w:b/>
        </w:rPr>
        <w:t xml:space="preserve">Why this necking matters clinically — a specific, named failure pathway: </w:t>
      </w:r>
      <w:r>
        <w:t>during thermocycling (the routine hot/cold stimulus load already covered in this module's Sub-Module 1.2 thermal-expansion content), this narrowed neck of resin is a genuine stress-concentration point and is likely to fail — resulting in the resin tag separating from the overlying bonding-resin layer at that exact narrowed point, even though the bulk bond to the tooth may otherwise look intact. This is a real, specific micromechanical failure mode distinct from the broader enamel-bond-durability discussion already covered from other sources. [3, PDF p.370]</w:t>
      </w:r>
    </w:p>
    <w:p>
      <w:r>
        <w:rPr>
          <w:b/>
        </w:rPr>
        <w:t xml:space="preserve">A second, related enamel-bonding limitation — incomplete resin penetration from trapped air: </w:t>
      </w:r>
      <w:r>
        <w:t>the bonding resin may also fail to penetrate to the FULL depth of the fissure created by etching, because air becomes entrapped during resin application — a separate mechanism from the necking failure above, and one that can independently contribute to microleakage. Newer self-etch bonding systems have specifically attempted to address this particular air-entrapment limitation, alongside their other known trade-offs already covered in this module's Sub-Module 3.2. [3, PDF p.370]</w:t>
      </w:r>
    </w:p>
    <w:p>
      <w:pPr>
        <w:pStyle w:val="Heading1"/>
      </w:pPr>
      <w:r>
        <w:t>3.1.2 Adhesion to Dentin — Cross-Reference</w:t>
      </w:r>
    </w:p>
    <w:p>
      <w:r>
        <w:rPr>
          <w:b/>
        </w:rPr>
        <w:t>Full treatment: Module 1, Sub-Module 3.2, Sections 2.2, 5, and 6.</w:t>
      </w:r>
    </w:p>
    <w:p>
      <w:r>
        <w:t>Summary for continuity: dentin bonding is fundamentally more complex than enamel bonding because dentin is a wet, tubular, collagen-containing substrate rather than a dense mineral surface. The hybrid layer — the resin-interpenetration zone formed when hydrophilic primer monomers infiltrate acid-demineralized collagen and subsequently polymerize in place — is the mechanism responsible for dentin bond strength. Real reported shear bond strengths in the hybrid-layer-mediated range are 15-30 MPa, with most failures being cohesive rather than adhesive above roughly 20 MPa. Bond strength is genuinely NOT static after placement: matrix metalloproteinase (MMP)-mediated collagen degradation within the hybrid layer, resin hydrolysis, and nanoleakage all contribute to a real, measurable decline in bond strength over the following months to years — which is why moisture control ("wet bonding" — glistening but not pooling) and avoiding both over-drying (collagen collapse) and over-etching (a demineralized zone deeper than the primer can fully infiltrate) are the two most consequential technique-sensitive steps in the entire dentin-bonding protocol.</w:t>
      </w:r>
    </w:p>
    <w:p>
      <w:r>
        <w:br w:type="page"/>
      </w:r>
    </w:p>
    <w:p>
      <w:pPr>
        <w:pStyle w:val="Heading1"/>
      </w:pPr>
      <w:r>
        <w:t>3.1.3 Adhesion to Restorative Materials</w:t>
      </w:r>
    </w:p>
    <w:p>
      <w:r>
        <w:t>This section covers a genuinely distinct bonding problem from Sections 1-2 above: bonding resin not to natural tooth structure, but to an existing RESTORATIVE material — composite to composite, resin to ceramic, and resin to metal. Each substrate requires a mechanistically different surface-conditioning strategy, because none of them are collagen-containing, acid-demineralizable mineral in the way enamel and dentin are.</w:t>
      </w:r>
    </w:p>
    <w:p>
      <w:pPr>
        <w:pStyle w:val="Heading2"/>
      </w:pPr>
      <w:r>
        <w:t>Composite-to-Composite Bonding — Repair</w:t>
      </w:r>
    </w:p>
    <w:p>
      <w:r>
        <w:t>Repair of a fractured composite restoration is indicated when the fracture is not severe enough to justify full replacement, or when other factors favor conservation — tooth-structure preservation, cost, time, or (for a fixed prosthesis) avoiding replacement of multiple connected units. [1, p.241]</w:t>
      </w:r>
    </w:p>
    <w:p>
      <w:r>
        <w:rPr>
          <w:b/>
        </w:rPr>
        <w:t xml:space="preserve">The core problem — aged composite bonds poorly to fresh composite: </w:t>
      </w:r>
      <w:r>
        <w:t>aging of a composite restoration in the oral environment severely decreases its ability to bond to freshly placed composite, so an adhesive system is specifically recommended to mediate this bond rather than relying on the aged surface alone. The clinical protocol: roughen the aged composite surface with an intraoral sandblaster or a diamond bur, apply phosphoric acid for surface cleaning, THEN apply the bonding adhesive before placing new composite. [1, p.241]</w:t>
      </w:r>
    </w:p>
    <w:p>
      <w:r>
        <w:rPr>
          <w:b/>
        </w:rPr>
        <w:t xml:space="preserve">A second, complementary mechanism for why aged composite bonds poorly (McCabe's): </w:t>
      </w:r>
      <w:r>
        <w:t>beyond the coupling-agent/surface-chemistry explanation above, composite resin exposed in the mouth over time absorbs water and swells. A water-imbibed surface is thought to be genuinely more difficult to bond to, and ongoing stress is set up at the old/new material interface specifically because the NEW composite also continues absorbing water and swelling over time in the oral environment after placement — an ongoing dimensional mismatch, not just a one-time surface-chemistry problem. Thorough cleaning of the resin surface to remove cutting debris helps maximize attachment strength. [2, p.197]</w:t>
      </w:r>
    </w:p>
    <w:p>
      <w:r>
        <w:rPr>
          <w:b/>
        </w:rPr>
        <w:t xml:space="preserve">An intraoral repair technique beyond simple sandblasting: </w:t>
      </w:r>
      <w:r>
        <w:t>an intraoral sandblaster can be used either to mechanically roughen the aged composite surface, OR to silicoat it using a tribomechanical approach — depositing a thin silica layer directly via the abrasive process itself, which can then be silanized to create a genuinely bondable surface, distinct from simple mechanical roughening alone. [2, p.197]</w:t>
      </w:r>
    </w:p>
    <w:p>
      <w:pPr>
        <w:pStyle w:val="Heading2"/>
      </w:pPr>
      <w:r>
        <w:t>Ceramic-to-Resin Bonding — Two Genuinely Different Ceramic Families</w:t>
      </w:r>
    </w:p>
    <w:p>
      <w:r>
        <w:rPr>
          <w:b/>
        </w:rPr>
        <w:t xml:space="preserve">The silica-based (etchable) ceramic protocol — already covered in Module 1, Sub-Module 5.3: </w:t>
      </w:r>
      <w:r>
        <w:t>feldspathic porcelain and lithium-disilicate glass-ceramics respond to hydrofluoric acid etching (8-12%, 1-3 minutes) because HF dissolves their glass phase, creating real microporosities for resin to flow into, followed by a silane coupling agent to chemically bridge the ceramic's inorganic surface to the resin cement's organic matrix.</w:t>
      </w:r>
    </w:p>
    <w:p>
      <w:r>
        <w:rPr>
          <w:b/>
        </w:rPr>
        <w:t xml:space="preserve">The crystalline (non-etchable) ceramic exception — genuinely new content: </w:t>
      </w:r>
      <w:r>
        <w:t>hydrofluoric acid etching is NOT efficient on highly crystalline ceramics — glass-infiltrated/densely sintered alumina and yttria-stabilized tetragonal zirconia polycrystal (Y-TZP) specifically lack the glass phase that HF needs to dissolve, so the entire silica-based ceramic protocol from Sub-Module 5.3 simply does not work here. This remains a genuine subject of debate among clinicians and researchers rather than a fully settled protocol. [1, p.229]</w:t>
      </w:r>
    </w:p>
    <w:p>
      <w:r>
        <w:t>The alternative techniques used instead: airborne particle abrasion with 35-110 μm alumina particles, specifically to increase surface roughness mechanically since chemical dissolution isn't available; tribochemical coating, where the zirconia surface is treated with silica-modified alumina particles (commonly delivered as 110 μm and 30 μm silica-coated aluminum particles) to deposit an artificial silica layer, followed by conventional silanization — this technique has given genuinely MIXED results in the literature, not a uniformly reliable outcome; and organophosphate monomers, particularly 10-MDP, incorporated into primers developed specifically for zirconia bonding and into universal adhesive systems. [1, p.229]</w:t>
      </w:r>
    </w:p>
    <w:p>
      <w:r>
        <w:rPr>
          <w:b/>
        </w:rPr>
        <w:t xml:space="preserve">A practical takeaway worth stating precisely: </w:t>
      </w:r>
      <w:r>
        <w:t>a universal adhesive containing silane will bond well to silica-based ceramics, but silane alone does NOT effectively bond zirconia — a zirconia-specific primer (typically 10-MDP-based) is advisable for zirconia restorations even when the same universal adhesive bottle is being used for a different, silica-based ceramic case. [1, p.229]</w:t>
      </w:r>
    </w:p>
    <w:p>
      <w:pPr>
        <w:pStyle w:val="Heading2"/>
      </w:pPr>
      <w:r>
        <w:t>Metal-to-Resin Bonding — Genuinely New Content</w:t>
      </w:r>
    </w:p>
    <w:p>
      <w:r>
        <w:t>Direct chemical adhesion between resin and a metal alloy surface is inherently poor — metals lack the reactive hydroxyl/silanol chemistry that both enamel/dentin (via hydroxyapatite/collagen) and silica-based ceramics (via silane) offer. Several distinct surface-conditioning strategies exist, and choosing between them depends specifically on the alloy family being bonded: [1, p.229]</w:t>
      </w:r>
    </w:p>
    <w:tbl>
      <w:tblPr>
        <w:tblStyle w:val="LightGrid-Accent1"/>
        <w:tblW w:type="auto" w:w="0"/>
        <w:tblLook w:firstColumn="1" w:firstRow="1" w:lastColumn="0" w:lastRow="0" w:noHBand="0" w:noVBand="1" w:val="04A0"/>
      </w:tblPr>
      <w:tblGrid>
        <w:gridCol w:w="4320"/>
        <w:gridCol w:w="4320"/>
      </w:tblGrid>
      <w:tr>
        <w:tc>
          <w:tcPr>
            <w:tcW w:type="dxa" w:w="4320"/>
          </w:tcPr>
          <w:p>
            <w:r>
              <w:t>Technique</w:t>
            </w:r>
          </w:p>
        </w:tc>
        <w:tc>
          <w:tcPr>
            <w:tcW w:type="dxa" w:w="4320"/>
          </w:tcPr>
          <w:p>
            <w:r>
              <w:t>How it works / where it's used</w:t>
            </w:r>
          </w:p>
        </w:tc>
      </w:tr>
      <w:tr>
        <w:tc>
          <w:tcPr>
            <w:tcW w:type="dxa" w:w="4320"/>
          </w:tcPr>
          <w:p>
            <w:r>
              <w:t>Sandblasting (airborne particle abrasion) with alumina</w:t>
            </w:r>
          </w:p>
        </w:tc>
        <w:tc>
          <w:tcPr>
            <w:tcW w:type="dxa" w:w="4320"/>
          </w:tcPr>
          <w:p>
            <w:r>
              <w:t>The most commonly used method overall for preparing a metal substrate. Creates a microretentive, high-energy surface purely mechanically — works across alloy families, unlike several of the techniques below.</w:t>
            </w:r>
          </w:p>
        </w:tc>
      </w:tr>
      <w:tr>
        <w:tc>
          <w:tcPr>
            <w:tcW w:type="dxa" w:w="4320"/>
          </w:tcPr>
          <w:p>
            <w:r>
              <w:t>Electrolytic etching</w:t>
            </w:r>
          </w:p>
        </w:tc>
        <w:tc>
          <w:tcPr>
            <w:tcW w:type="dxa" w:w="4320"/>
          </w:tcPr>
          <w:p>
            <w:r>
              <w:t>Effective on base-metal alloys, but NOT as effective on noble alloys — noble alloys' more homogeneous microstructure gives the electrolytic process less compositional variation to selectively attack.</w:t>
            </w:r>
          </w:p>
        </w:tc>
      </w:tr>
      <w:tr>
        <w:tc>
          <w:tcPr>
            <w:tcW w:type="dxa" w:w="4320"/>
          </w:tcPr>
          <w:p>
            <w:r>
              <w:t>Tin plating</w:t>
            </w:r>
          </w:p>
        </w:tc>
        <w:tc>
          <w:tcPr>
            <w:tcW w:type="dxa" w:w="4320"/>
          </w:tcPr>
          <w:p>
            <w:r>
              <w:t>Used specifically to improve resin-cement retention to NOBLE alloys — the alloy family electrolytic etching handles poorly.</w:t>
            </w:r>
          </w:p>
        </w:tc>
      </w:tr>
      <w:tr>
        <w:tc>
          <w:tcPr>
            <w:tcW w:type="dxa" w:w="4320"/>
          </w:tcPr>
          <w:p>
            <w:r>
              <w:t>Silica coating / tribochemical silica application</w:t>
            </w:r>
          </w:p>
        </w:tc>
        <w:tc>
          <w:tcPr>
            <w:tcW w:type="dxa" w:w="4320"/>
          </w:tcPr>
          <w:p>
            <w:r>
              <w:t>A silica layer is deposited at high temperature, or tribochemically via aluminum oxide particles modified with silicic acid; a silane solution is then applied to the treated metal, converting an otherwise non-bondable metal surface into one that IS capable of bonding to dimethacrylate resins — the same chemical logic used for zirconia above, applied here to metal instead.</w:t>
            </w:r>
          </w:p>
        </w:tc>
      </w:tr>
      <w:tr>
        <w:tc>
          <w:tcPr>
            <w:tcW w:type="dxa" w:w="4320"/>
          </w:tcPr>
          <w:p>
            <w:r>
              <w:t>10-MDP and 4-META monomers in resin cements</w:t>
            </w:r>
          </w:p>
        </w:tc>
        <w:tc>
          <w:tcPr>
            <w:tcW w:type="dxa" w:w="4320"/>
          </w:tcPr>
          <w:p>
            <w:r>
              <w:t>Improve retention to cast-alloy restorations directly through the resin cement's own formulation, without a separate surface-treatment step. These monomers are more effective with base-metal alloys than with noble alloys — the same alloy-family asymmetry seen with electrolytic etching above. Dedicated metal primers also exist for this purpose, though Craig's is explicit that research results across different metal-primer products are inconsistent — this is not a uniformly reliable, settled technique.</w:t>
            </w:r>
          </w:p>
        </w:tc>
      </w:tr>
    </w:tbl>
    <w:p>
      <w:r>
        <w:rPr>
          <w:b/>
        </w:rPr>
        <w:t xml:space="preserve">The pattern worth remembering: </w:t>
      </w:r>
      <w:r>
        <w:t>almost every metal-bonding technique above splits along the SAME base-metal-vs-noble-alloy line — electrolytic etching and 10-MDP/4-META monomers favor base metals; tin plating specifically exists to compensate for noble alloys' resistance to those same techniques. This mirrors the corrosion-resistance/reactivity logic from Module 3's Sub-Module 2.1 (base metals corrode/react more readily, which is exactly why they also bond to resin more readily through chemically-reactive techniques).</w:t>
      </w:r>
    </w:p>
    <w:p>
      <w:pPr>
        <w:pStyle w:val="Heading2"/>
      </w:pPr>
      <w:r>
        <w:t>Real Bond-Strength Data and Two Alternative Metal-Preparation Techniques (McCabe's)</w:t>
      </w:r>
    </w:p>
    <w:p>
      <w:r>
        <w:t>Bonding resin to BASE metal alloys is described as relatively straightforward, with bond strengths in excess of 20 MPa considered normal. The mechanism is thought to involve the alloy's own NATURALLY-FORMED oxide layer, and the only surface preparation typically required is moderate sandblasting followed by steam cleaning — no additional coating or chemical treatment needed. [2, p.212]</w:t>
      </w:r>
    </w:p>
    <w:p>
      <w:r>
        <w:rPr>
          <w:b/>
        </w:rPr>
        <w:t xml:space="preserve">Precious alloys are harder to bond, and the field is honestly less settled here than for base metals: </w:t>
      </w:r>
      <w:r>
        <w:t>tin plating is recommended for some products specifically to generate an oxide layer suitable for bonding — but McCabe's is explicit that it is NOT clear whether tin plating actually aids bonding through genuine chemical bonding to the tin oxide, or simply through creating a mechanically roughened surface coated with tin oxide crystals that resin can interlock into. A real alternative technique for other alloy/adhesive systems: heating the alloy to 400°C in air for 10 minutes, specifically to generate a copper oxide layer on the metal surface — a heat-based alternative to the sandblasting/tin-plating/silica-coating techniques already covered above from Craig's. [2, p.212]</w:t>
      </w:r>
    </w:p>
    <w:p>
      <w:pPr>
        <w:pStyle w:val="Heading2"/>
      </w:pPr>
      <w:r>
        <w:t>Repair of Metal-Ceramic Restorations — A Combined Protocol</w:t>
      </w:r>
    </w:p>
    <w:p>
      <w:r>
        <w:t>A fractured metal-ceramic (porcelain-fused-to-metal) restoration presents both substrates simultaneously, and the repair protocol genuinely combines the two techniques above rather than picking one: [1, p.241]</w:t>
      </w:r>
    </w:p>
    <w:p>
      <w:pPr>
        <w:pStyle w:val="ListBullet"/>
      </w:pPr>
      <w:r>
        <w:t>Where a large area of the metal infrastructure is exposed: sandblast with alumina (or silicic-acid-modified alumina), then apply silane and adhesive resin, before placing composite.</w:t>
      </w:r>
    </w:p>
    <w:p>
      <w:pPr>
        <w:pStyle w:val="ListBullet"/>
      </w:pPr>
      <w:r>
        <w:t>Where the fractured surface is porcelain: sandblast AND etch with hydrofluoric acid gel, then silanize, apply adhesive, and place composite.</w:t>
      </w:r>
    </w:p>
    <w:p>
      <w:r>
        <w:rPr>
          <w:b/>
        </w:rPr>
        <w:t xml:space="preserve">A specific safety point worth flagging clearly: </w:t>
      </w:r>
      <w:r>
        <w:t>intraoral use of hydrofluoric acid gel — necessary for the porcelain-repair branch above — must be performed with rubber dam isolation, because of HF's caustic effect on soft tissue if it contacts the gingiva or oral mucosa unprotected. [1, p.241]</w:t>
      </w:r>
    </w:p>
    <w:p>
      <w:r>
        <w:br w:type="page"/>
      </w:r>
    </w:p>
    <w:p>
      <w:pPr>
        <w:pStyle w:val="Heading1"/>
      </w:pPr>
      <w:r>
        <w:t>3.1.4 Real Substrate-Specific Adhesive Protocols, Side by Side (Alani &amp; Patel)</w:t>
      </w:r>
    </w:p>
    <w:p>
      <w:r>
        <w:t>Every substrate-specific mechanism covered in Section 3.1.3 above — sandblasting metal, HF-etching silica-based ceramic, 10-MDP priming zirconia — converges into a real, step-by-step clinical sequence in practice. Laid out side by side, the shared structure and the substrate-specific differences both become clear: [5, p.54]</w:t>
      </w:r>
    </w:p>
    <w:tbl>
      <w:tblPr>
        <w:tblStyle w:val="LightGrid-Accent1"/>
        <w:tblW w:type="auto" w:w="0"/>
        <w:tblLook w:firstColumn="1" w:firstRow="1" w:lastColumn="0" w:lastRow="0" w:noHBand="0" w:noVBand="1" w:val="04A0"/>
      </w:tblPr>
      <w:tblGrid>
        <w:gridCol w:w="4320"/>
        <w:gridCol w:w="4320"/>
      </w:tblGrid>
      <w:tr>
        <w:tc>
          <w:tcPr>
            <w:tcW w:type="dxa" w:w="4320"/>
          </w:tcPr>
          <w:p>
            <w:r>
              <w:t>Substrate</w:t>
            </w:r>
          </w:p>
        </w:tc>
        <w:tc>
          <w:tcPr>
            <w:tcW w:type="dxa" w:w="4320"/>
          </w:tcPr>
          <w:p>
            <w:r>
              <w:t>Surface treatment sequence</w:t>
            </w:r>
          </w:p>
        </w:tc>
      </w:tr>
      <w:tr>
        <w:tc>
          <w:tcPr>
            <w:tcW w:type="dxa" w:w="4320"/>
          </w:tcPr>
          <w:p>
            <w:r>
              <w:t>Gold alloy (Type III)</w:t>
            </w:r>
          </w:p>
        </w:tc>
        <w:tc>
          <w:tcPr>
            <w:tcW w:type="dxa" w:w="4320"/>
          </w:tcPr>
          <w:p>
            <w:r>
              <w:t>Steam clean → alumina blast, rinse, air dry → (optional heat treatment) → alcohol clean, air dry → alloy 10-MDP primer, air dry → resin cement load</w:t>
            </w:r>
          </w:p>
        </w:tc>
      </w:tr>
      <w:tr>
        <w:tc>
          <w:tcPr>
            <w:tcW w:type="dxa" w:w="4320"/>
          </w:tcPr>
          <w:p>
            <w:r>
              <w:t>Chrome alloy (Ni-Cr or Co-Cr)</w:t>
            </w:r>
          </w:p>
        </w:tc>
        <w:tc>
          <w:tcPr>
            <w:tcW w:type="dxa" w:w="4320"/>
          </w:tcPr>
          <w:p>
            <w:r>
              <w:t>Steam clean → alumina blast, rinse, air dry → alcohol clean, air dry → alloy 10-MDP primer, air dry → resin cement load — structurally identical to the gold-alloy sequence, confirming this protocol is base-metal-vs-noble-metal-agnostic in structure even though the underlying bond chemistry differs by alloy family (Section 3.1.3 above).</w:t>
            </w:r>
          </w:p>
        </w:tc>
      </w:tr>
      <w:tr>
        <w:tc>
          <w:tcPr>
            <w:tcW w:type="dxa" w:w="4320"/>
          </w:tcPr>
          <w:p>
            <w:r>
              <w:t>Composite resin (veneer)</w:t>
            </w:r>
          </w:p>
        </w:tc>
        <w:tc>
          <w:tcPr>
            <w:tcW w:type="dxa" w:w="4320"/>
          </w:tcPr>
          <w:p>
            <w:r>
              <w:t>Steam clean → sandblast → rinse, air dry → alcohol clean, air dry → adhesive application, air dry → resin cement load — directly matches the composite-repair sandblasting protocol already covered above.</w:t>
            </w:r>
          </w:p>
        </w:tc>
      </w:tr>
      <w:tr>
        <w:tc>
          <w:tcPr>
            <w:tcW w:type="dxa" w:w="4320"/>
          </w:tcPr>
          <w:p>
            <w:r>
              <w:t>Resin nano-ceramic (onlay)</w:t>
            </w:r>
          </w:p>
        </w:tc>
        <w:tc>
          <w:tcPr>
            <w:tcW w:type="dxa" w:w="4320"/>
          </w:tcPr>
          <w:p>
            <w:r>
              <w:t>Steam clean → sandblast (specifically CoJet-Sand — a silica-modified alumina tribochemical system, the same mechanism already covered for zirconia/metal silica-coating above) → rinse, air dry → alcohol clean, air dry → adhesive application, air dry → resin cement load</w:t>
            </w:r>
          </w:p>
        </w:tc>
      </w:tr>
      <w:tr>
        <w:tc>
          <w:tcPr>
            <w:tcW w:type="dxa" w:w="4320"/>
          </w:tcPr>
          <w:p>
            <w:r>
              <w:t>Glass-fibre post</w:t>
            </w:r>
          </w:p>
        </w:tc>
        <w:tc>
          <w:tcPr>
            <w:tcW w:type="dxa" w:w="4320"/>
          </w:tcPr>
          <w:p>
            <w:r>
              <w:t>Steam clean → alcohol clean, air dry → silane (60 seconds, only if the post is NOT pre-silanated) → air dry → adhesive application, air dry — no cement-load step listed separately, since post cementation follows as its own procedure.</w:t>
            </w:r>
          </w:p>
        </w:tc>
      </w:tr>
      <w:tr>
        <w:tc>
          <w:tcPr>
            <w:tcW w:type="dxa" w:w="4320"/>
          </w:tcPr>
          <w:p>
            <w:r>
              <w:t>Lithium disilicate glass-ceramic (onlay)</w:t>
            </w:r>
          </w:p>
        </w:tc>
        <w:tc>
          <w:tcPr>
            <w:tcW w:type="dxa" w:w="4320"/>
          </w:tcPr>
          <w:p>
            <w:r>
              <w:t>Steam clean → 5% or 9.5% hydrofluoric acid etch (10 or 20 seconds respectively) → rinse, air dry → 37% phosphoric acid etch (15 seconds) → rinse, air dry → alcohol clean, air dry → silane (60 seconds) → air dry → adhesive application, air dry → resin cement (composite resin restorative paste) load</w:t>
            </w:r>
          </w:p>
        </w:tc>
      </w:tr>
      <w:tr>
        <w:tc>
          <w:tcPr>
            <w:tcW w:type="dxa" w:w="4320"/>
          </w:tcPr>
          <w:p>
            <w:r>
              <w:t>Zirconia (crown)</w:t>
            </w:r>
          </w:p>
        </w:tc>
        <w:tc>
          <w:tcPr>
            <w:tcW w:type="dxa" w:w="4320"/>
          </w:tcPr>
          <w:p>
            <w:r>
              <w:t>Steam clean → sandblast → rinse, air dry → alcohol clean, air dry → ceramic 10-MDP primer (60 seconds) → air dry → resin cement load — NO hydrofluoric acid step, consistent with the crystalline-ceramic HF-resistance already established in Section 3.1.3 above.</w:t>
            </w:r>
          </w:p>
        </w:tc>
      </w:tr>
    </w:tbl>
    <w:p>
      <w:r>
        <w:rPr>
          <w:b/>
        </w:rPr>
        <w:t xml:space="preserve">The pattern worth internalizing across all seven protocols: </w:t>
      </w:r>
      <w:r>
        <w:t>every single sequence begins with steam cleaning and ends with an air-dry step immediately before cement loading — the substrate-specific chemistry (HF acid vs. 10-MDP primer vs. silane vs. none) is inserted in the MIDDLE of an otherwise near-identical outer structure. This is a genuinely useful way to memorize the whole family of protocols: learn the universal outer scaffold once, then attach only the substrate-specific middle step for whichever material is actually being bonded. Notably, the two crystalline substrates that cannot be HF-etched — zirconia and both metal alloy families — converge on the SAME 10-MDP-primer solution in the middle step, despite being chemically very different materials, because 10-MDP's phosphate-ester chemistry can bond to both metal oxide and zirconia oxide surfaces. [5, p.54]</w:t>
      </w:r>
    </w:p>
    <w:p>
      <w:pPr>
        <w:pStyle w:val="Heading1"/>
      </w:pPr>
      <w:r>
        <w:t>References</w:t>
      </w:r>
    </w:p>
    <w:p>
      <w:r>
        <w:t>1. Sakaguchi RL, Ferracane JL, Powers JM. Craig's Restorative Dental Materials. 14th ed. St. Louis: Elsevier; 2019.</w:t>
      </w:r>
    </w:p>
    <w:p>
      <w:r>
        <w:t>2. McCabe JF, Walls AWG. Applied Dental Materials. 9th ed. Oxford: Blackwell Publishing; 2008.</w:t>
      </w:r>
    </w:p>
    <w:p>
      <w:r>
        <w:t>3. Bonsor SJ, Pearson GJ. A Clinical Guide to Applied Dental Materials. Edinburgh: Churchill Livingstone Elsevier; 2013.</w:t>
      </w:r>
    </w:p>
    <w:p>
      <w:r>
        <w:t>4. Craig RG, ed. Restorative Dental Materials. 11th ed. St. Louis: Mosby; 2002.</w:t>
      </w:r>
    </w:p>
    <w:p>
      <w:r>
        <w:t>5. Alani A, Patel M. Adhesive Techniques in Restorative Dentistry. Cham: Springer (BDJ Clinician's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