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Sub-Module 3.2: Adhesive System Types</w:t>
      </w:r>
    </w:p>
    <w:p>
      <w:r>
        <w:t>Module 3: Dental Materials &amp; Material Science | Sub-Module 3.2</w:t>
      </w:r>
    </w:p>
    <w:p/>
    <w:p>
      <w:pPr>
        <w:pStyle w:val="Heading2"/>
      </w:pPr>
      <w:r>
        <w:t>Note on Sources</w:t>
      </w:r>
    </w:p>
    <w:p>
      <w:r>
        <w:t xml:space="preserve">Sources used in this document: </w:t>
      </w:r>
      <w:r>
        <w:t>[1] Philips' Science of Dental Materials (13th ed.) — real pH-based mild/strong self-etch mechanism, the concrete clinical-application matching guide, and 3-year randomized-trial evidence; [2] Craig's Restorative Dental Materials (14th ed.) — the specific chemistry of how mild self-etch systems bond chemically to residual hydroxyapatite, and self-etch's structural elimination of two specific etch-and-rinse failure modes.</w:t>
      </w:r>
      <w:r>
        <w:t xml:space="preserve"> [3] McCabe JF, Walls AWG. Applied Dental Materials (9th ed.) — a specific self-etch mechanical advantage (no open-dentinal-tubule stage) and an honest critique of combining self-etch primers with a separate phosphoric-acid enamel etch, neither previously covered.</w:t>
      </w:r>
      <w:r>
        <w:t xml:space="preserve"> [4] van Noort R, Barbour M. Introduction to Dental Materials (4th ed.) — a precise terminology distinction between "one-bottle" bonding systems and true self-etching primers, easily confused but mechanistically different.</w:t>
      </w:r>
      <w:r>
        <w:t xml:space="preserve"> [5] Alani A, Patel M. Adhesive Techniques in Restorative Dentistry (BDJ Clinician's Guides). A genuinely modern (2020s) clinical source that fills a real gap the older textbooks in this sub-module could not: an explicit "eighth-generation = universal" framework with exact, real timing for every generation and every etch mode.</w:t>
      </w:r>
    </w:p>
    <w:p>
      <w:r>
        <w:rPr>
          <w:b/>
        </w:rPr>
        <w:t xml:space="preserve">Revision note: </w:t>
      </w:r>
      <w:r>
        <w:t>the user asked whether McCabe's — on the standing Module 3 secondary source list — had been checked for this sub-module; it had not been. It adds a specific self-etch advantage (no stage with open, unprotected dentinal tubules) not framed this way elsewhere, plus an honestly skeptical critique of the common practice of adding a separate phosphoric-acid step to an otherwise self-etch protocol. Added below.</w:t>
      </w:r>
    </w:p>
    <w:p>
      <w:r>
        <w:rPr>
          <w:b/>
        </w:rPr>
        <w:t xml:space="preserve">Second revision note: </w:t>
      </w:r>
      <w:r>
        <w:t>the user supplied a genuinely modern textbook, Adhesive Techniques in Restorative Dentistry (Alani &amp; Patel, BDJ Clinician's Guides). Every other source in this sub-module predates ~2015 and does not use "universal adhesive" terminology at all — this source does, framing it explicitly as the EIGHTH generation, and gives real, exact-timing protocol tables for every generation (4th, 5th, 6th/7th, 8th) across every etch mode. This fills a genuine gap flagged earlier in this document's own notes. Added below, replacing the placeholder cross-reference in Section 3.2.3.</w:t>
      </w:r>
    </w:p>
    <w:p>
      <w:r>
        <w:rPr>
          <w:b/>
        </w:rPr>
        <w:t xml:space="preserve">Revision note: </w:t>
      </w:r>
      <w:r>
        <w:t>continuing the audit of the newly-supplied textbooks against sub-modules given only a light check earlier. Van Noort's draws a precise, easily-confused terminology distinction between "one-bottle" bonding systems and true self-etching primers — both are two-step, single-bottle-per-step products, but they differ in whether a SEPARATE acid-etch step is still used. Added below.</w:t>
      </w:r>
    </w:p>
    <w:p>
      <w:r>
        <w:rPr>
          <w:b/>
        </w:rPr>
        <w:t xml:space="preserve">Cross-reference note: </w:t>
      </w:r>
      <w:r>
        <w:t>Module 1's Sub-Module 3.2 already covers the general etch-strategy classification (Section 3), primer/bonding-agent chemistry, universal adhesive requirements and pH range, and a critique of "generation" numbering — that content is cross-referenced rather than rebuilt. This sub-module adds what was not previously covered: the real pH values and distinct chemical bonding MECHANISMS separating mild from strong self-etch systems (not just the label), the 2-step-vs-3-step etch-and-rinse distinction and its specific durability failure mode, a concrete restoration-type-to-system matching guide, and real 3-year clinical trial evidence comparing one-step self-etch against etch-and-rinse.</w:t>
      </w:r>
    </w:p>
    <w:p>
      <w:r>
        <w:br w:type="page"/>
      </w:r>
    </w:p>
    <w:p>
      <w:pPr>
        <w:pStyle w:val="Heading1"/>
      </w:pPr>
      <w:r>
        <w:t>3.2.1 Etch-and-Rinse Systems (Total-Etch)</w:t>
      </w:r>
    </w:p>
    <w:p>
      <w:r>
        <w:t>Full general treatment — phosphoric acid concentration/time, enamel/dentin etch mechanism, hybrid layer formation — is covered in Module 1's Sub-Module 3.2. What follows is the specific structural distinction between step counts within etch-and-rinse systems, which is genuinely new.</w:t>
      </w:r>
    </w:p>
    <w:p>
      <w:r>
        <w:rPr>
          <w:b/>
        </w:rPr>
        <w:t xml:space="preserve">Two-step vs. three-step etch-and-rinse — a real durability difference, not just a convenience difference: </w:t>
      </w:r>
      <w:r>
        <w:t>in a two-step system, hydrophilic and ionic monomers are combined together into a single bottle applied after etching. This has a specific structural consequence: the bonded interface does NOT develop a separate hydrophobic resin layer on top, which leaves the bond susceptible to ongoing water penetration and subsequent degradation — genuinely reducing long-term bond durability compared with a three-step system, which keeps the hydrophilic primer and the hydrophobic bonding resin as separate, sequential applications specifically to build that protective hydrophobic outer layer. [1, p.268]</w:t>
      </w:r>
    </w:p>
    <w:p>
      <w:r>
        <w:t>This is a direct, mechanistic explanation for why three-step ("fourth-generation") etch-and-rinse systems remain the recommended choice specifically for bonding composite CORES (Section 3.2.4 below) — a high-stress, long-service-life application where that extra hydrophobic barrier layer's durability benefit matters most, even though it costs an extra clinical step. [1, p.268]</w:t>
      </w:r>
    </w:p>
    <w:p>
      <w:r>
        <w:br w:type="page"/>
      </w:r>
    </w:p>
    <w:p>
      <w:pPr>
        <w:pStyle w:val="Heading2"/>
      </w:pPr>
      <w:r>
        <w:t>"One-Bottle" Systems vs. True Self-Etching Primers — A Precise Terminology Distinction (van Noort's)</w:t>
      </w:r>
    </w:p>
    <w:p>
      <w:r>
        <w:t>Reducing a three-stage system (conditioner, primer, sealer) down to two components can be done in two genuinely different ways, and the resulting products are easily confused despite behaving quite differently: [4, p.116]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 type</w:t>
            </w:r>
          </w:p>
        </w:tc>
        <w:tc>
          <w:tcPr>
            <w:tcW w:type="dxa" w:w="4320"/>
          </w:tcPr>
          <w:p>
            <w:r>
              <w:t>What's actually combined</w:t>
            </w:r>
          </w:p>
        </w:tc>
      </w:tr>
      <w:tr>
        <w:tc>
          <w:tcPr>
            <w:tcW w:type="dxa" w:w="4320"/>
          </w:tcPr>
          <w:p>
            <w:r>
              <w:t>"One-bottle" bonding systems</w:t>
            </w:r>
          </w:p>
        </w:tc>
        <w:tc>
          <w:tcPr>
            <w:tcW w:type="dxa" w:w="4320"/>
          </w:tcPr>
          <w:p>
            <w:r>
              <w:t>The PRIMER and SEALER (adhesive resin) are combined into one bottle — but a SEPARATE acid-etch step is still performed beforehand, exactly as in a conventional etch-and-rinse protocol. This is structurally a reduced-step ETCH-AND-RINSE system, not a self-etch system, despite the single-bottle convenience.</w:t>
            </w:r>
          </w:p>
        </w:tc>
      </w:tr>
      <w:tr>
        <w:tc>
          <w:tcPr>
            <w:tcW w:type="dxa" w:w="4320"/>
          </w:tcPr>
          <w:p>
            <w:r>
              <w:t>Self-etching primers</w:t>
            </w:r>
          </w:p>
        </w:tc>
        <w:tc>
          <w:tcPr>
            <w:tcW w:type="dxa" w:w="4320"/>
          </w:tcPr>
          <w:p>
            <w:r>
              <w:t>The CONDITIONER (acid) and PRIMER are combined into one bottle instead — this is the genuine self-etch mechanism, where demineralization and infiltration happen together with no separate etch/rinse step at all.</w:t>
            </w:r>
          </w:p>
        </w:tc>
      </w:tr>
    </w:tbl>
    <w:p>
      <w:r>
        <w:rPr>
          <w:b/>
        </w:rPr>
        <w:t xml:space="preserve">Why this distinction matters practically: </w:t>
      </w:r>
      <w:r>
        <w:t>"one-bottle" bonding systems continue to rely on a separate acid-etch step before the combined primer/sealer is applied — the goal is for hybridization of the demineralized dentin and sealing of the dentinal tubules to occur SIMULTANEOUSLY during that one application. To actually achieve this in practice, many one-bottle systems require MULTIPLE applications of the primer/adhesive, not a single pass — a real technique detail easy to miss if "one bottle" is assumed to mean "one application." True self-etching primers, by contrast, genuinely eliminate the separate etch/rinse step altogether, and specifically avoid the ambiguous, technique-sensitive dentin-drying judgment call that etch-and-rinse systems require. [4, p.116]</w:t>
      </w:r>
    </w:p>
    <w:p>
      <w:pPr>
        <w:pStyle w:val="Heading1"/>
      </w:pPr>
      <w:r>
        <w:t>3.2.2 Self-Etch Systems</w:t>
      </w:r>
    </w:p>
    <w:p>
      <w:r>
        <w:t>Self-etch systems use an acidic monomer that conditions and primes the tooth simultaneously, without a separate rinse step. There are two genuinely distinct varieties — mild and strong — distinguished by real, different pH values AND by different underlying bonding chemistry, not merely by a marketing label. [1, p.268]</w:t>
      </w:r>
    </w:p>
    <w:p>
      <w:pPr>
        <w:pStyle w:val="Heading2"/>
      </w:pPr>
      <w:r>
        <w:t>Strong Self-Etch — Mechanism Resembles Etch-and-Rinse</w:t>
      </w:r>
    </w:p>
    <w:p>
      <w:r>
        <w:t>Strong self-etch adhesives have a low pH (&lt;1) — genuinely comparable to phosphoric acid's own acidity — and their documented bonding mechanism closely resembles that of etch-and-rinse systems: substantial demineralization, followed by resin infiltration and micromechanical interlock. [1, p.268]</w:t>
      </w:r>
    </w:p>
    <w:p>
      <w:r>
        <w:rPr>
          <w:b/>
        </w:rPr>
        <w:t xml:space="preserve">The counter-intuitive weakness: high acidity does not translate to high bond strength here. </w:t>
      </w:r>
      <w:r>
        <w:t>Bond strength for strong self-etch systems — particularly all-in-one (one-step) formulations — is relatively LOW, probably because of their combination of high initial acidity AND high water content acting together against the bond. A further specific weakness of all-in-one systems: their high water content causes the cured polymer to behave as a semipermeable membrane, which increases long-term degradation by hydrolysis — the resin never fully achieves the protective hydrophobic barrier that a separate bonding-resin step would provide. [2, p.280]</w:t>
      </w:r>
    </w:p>
    <w:p>
      <w:pPr>
        <w:pStyle w:val="Heading2"/>
      </w:pPr>
      <w:r>
        <w:t>Mild Self-Etch — A Genuinely Different Chemical Bonding Mechanism</w:t>
      </w:r>
    </w:p>
    <w:p>
      <w:r>
        <w:t>Mild self-etch adhesives have a pH around 2 — meaningfully less acidic than strong self-etch — and only partially dissolve the dentin surface, demineralizing just a few micrometers deep. Critically, this leaves a substantial amount of hydroxyapatite mineral still present WITHIN the hybrid layer, attached to the collagen fibrils rather than fully dissolved away. [1, p.268]</w:t>
      </w:r>
    </w:p>
    <w:p>
      <w:r>
        <w:rPr>
          <w:b/>
        </w:rPr>
        <w:t xml:space="preserve">This residual mineral enables a real chemical bond, not just a mechanical one: </w:t>
      </w:r>
      <w:r>
        <w:t>specific functional monomers — 4-META (4-methacryloxyethyl trimellitic anhydride) and 10-MDP (10-methacryloyloxydecyl dihydrogen phosphate) — carry carboxyl or phosphate groups that chemically interact with this residual hydroxyapatite directly. This is a genuinely different bonding mechanism from etch-and-rinse or strong self-etch, both of which rely almost entirely on micromechanical interlock into collagen with only very weak chemical-adhesive contribution. Because of this added chemical bonding contribution, mild self-etch systems can achieve a BETTER bond to dentin than etch-and-rinse adhesives achieve. [1, p.268]</w:t>
      </w:r>
    </w:p>
    <w:p>
      <w:r>
        <w:rPr>
          <w:b/>
        </w:rPr>
        <w:t xml:space="preserve">The trade-off — that same chemistry has a durability cost: </w:t>
      </w:r>
      <w:r>
        <w:t>because the resulting interfacial zone retains mineral content and more hydrophilic character than a fully-demineralized-and-hybridized layer, it is genuinely MORE prone to hydrolytic degradation over time. The presence of residual hydroxyapatite does offer a partial compensation, though: it may help physically protect the collagen fibrils against degradation, which is thought to be why mild self-etch systems' dentin bond durability still tests as adequate overall despite this structural vulnerability. [2, p.280]</w:t>
      </w:r>
    </w:p>
    <w:p>
      <w:r>
        <w:rPr>
          <w:b/>
        </w:rPr>
        <w:t xml:space="preserve">A specific clinical weak point worth naming: sclerotic dentin. </w:t>
      </w:r>
      <w:r>
        <w:t>Mild self-etch systems may show relatively low bond strength specifically when applied to sclerotic dentin — a substrate already flagged elsewhere in this library (Module 1's caries/diagnosis sub-modules) as etch-resistant due to its mineral-occluded tubules. The same mineral occlusion that makes sclerotic dentin harder to etch with phosphoric acid also blunts mild self-etch's already-gentler demineralization even further. [2, p.280]</w:t>
      </w:r>
    </w:p>
    <w:p>
      <w:pPr>
        <w:pStyle w:val="Heading2"/>
      </w:pPr>
      <w:r>
        <w:t>Self-Etch's Two Structural Advantages Over Etch-and-Rinse</w:t>
      </w:r>
    </w:p>
    <w:p>
      <w:r>
        <w:t>Beyond individual bond-strength numbers, self-etch systems as a category eliminate two specific FAILURE MODES that etch-and-rinse systems are inherently exposed to: [2, p.279]</w:t>
      </w:r>
    </w:p>
    <w:p>
      <w:pPr>
        <w:pStyle w:val="ListBullet"/>
      </w:pPr>
      <w:r>
        <w:t>The risk of incomplete primer/adhesive penetration into the collagen scaffold that phosphoric-acid etching has already demineralized and exposed — in etch-and-rinse, if the primer fails to fully infiltrate the depth the acid demineralized, a weak, unprotected collagen zone is left behind. Self-etch avoids this because demineralization and infiltration happen together, at the same depth, by the same acidic monomer.</w:t>
      </w:r>
    </w:p>
    <w:p>
      <w:pPr>
        <w:pStyle w:val="ListBullet"/>
      </w:pPr>
      <w:r>
        <w:t>The subjectivity of judging "ideal" moisture on the dentin surface before primer application — the wet-bonding technique sensitivity covered in Module 1's Sub-Module 3.2. Self-etch systems dissolve the smear layer and incorporate it directly into the hybrid layer, rather than requiring the clinician to first rinse it away and then judge a subjective moisture window before the next step.</w:t>
      </w:r>
    </w:p>
    <w:p>
      <w:r>
        <w:br w:type="page"/>
      </w:r>
    </w:p>
    <w:p>
      <w:pPr>
        <w:pStyle w:val="Heading2"/>
      </w:pPr>
      <w:r>
        <w:t>A Third Self-Etch Advantage, and an Honest Critique of "Enhanced" Self-Etch Protocols (McCabe's)</w:t>
      </w:r>
    </w:p>
    <w:p>
      <w:r>
        <w:t>Beyond the two structural advantages above (Craig's), McCabe's names a third, specifically mechanical one: with the self-etch method, there is no stage in the procedure where open dentinal tubules are actually exposed, and correspondingly no risk of over-drying following a rinse step — because there IS no rinse step to over-dry after. The etch-and-rinse technique, by contrast, necessarily passes through a window where the smear layer has been dissolved and rinsed away, briefly leaving tubules open and the surface vulnerable to exactly the over-drying failure mode already covered in Module 1's Sub-Module 3.2. [3, p.208]</w:t>
      </w:r>
    </w:p>
    <w:p>
      <w:r>
        <w:rPr>
          <w:b/>
        </w:rPr>
        <w:t xml:space="preserve">The honest trade-off McCabe's names directly: </w:t>
      </w:r>
      <w:r>
        <w:t>self-etching primer systems may not etch ENAMEL as effectively as phosphoric acid does. Some manufacturers respond to this by supplying a separate phosphoric acid solution specifically for enamel etching alongside their self-etch primer system for dentin. McCabe's is candid that this hybrid approach "rather defeats the object" — if a separate acid-etch step for enamel is needed anyway, much of self-etch's core appeal (fewer steps, no separate etch/rinse stage) is undermined. [3, p.208]</w:t>
      </w:r>
    </w:p>
    <w:p>
      <w:r>
        <w:rPr>
          <w:b/>
        </w:rPr>
        <w:t xml:space="preserve">Reconciling this with the selective-enamel-etch recommendation already established: </w:t>
      </w:r>
      <w:r>
        <w:t>this is not actually a contradiction of the "selective enamel etch" best practice covered elsewhere in this sub-module (Section 3.2.4) — it is the same underlying tension stated more bluntly. Selective etching genuinely does improve enamel bond quality over self-etch primer alone, but McCabe's point is worth keeping precisely because it names the real cost of that improvement: added complexity that partially erodes self-etch's simplicity advantage, rather than treating selective etching as a free upgrade with no trade-off at all.</w:t>
      </w:r>
    </w:p>
    <w:p>
      <w:pPr>
        <w:pStyle w:val="Heading2"/>
      </w:pPr>
      <w:r>
        <w:t>The Generation-by-Generation Framework, With Exact Timing (Alani &amp; Patel)</w:t>
      </w:r>
    </w:p>
    <w:p>
      <w:r>
        <w:t>A clean, modern synthesis explicitly maps bonding-agent generation to etch strategy and bottle count — and, critically, names the EIGHTH generation as UNIVERSAL, the direct answer to "which generation is a universal adhesive?" that the older sources in this sub-module could not give: [5, p.42]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Generation</w:t>
            </w:r>
          </w:p>
        </w:tc>
        <w:tc>
          <w:tcPr>
            <w:tcW w:type="dxa" w:w="2160"/>
          </w:tcPr>
          <w:p>
            <w:r>
              <w:t>Etch technique(s)</w:t>
            </w:r>
          </w:p>
        </w:tc>
        <w:tc>
          <w:tcPr>
            <w:tcW w:type="dxa" w:w="2160"/>
          </w:tcPr>
          <w:p>
            <w:r>
              <w:t>Primer</w:t>
            </w:r>
          </w:p>
        </w:tc>
        <w:tc>
          <w:tcPr>
            <w:tcW w:type="dxa" w:w="2160"/>
          </w:tcPr>
          <w:p>
            <w:r>
              <w:t>Adhesive</w:t>
            </w:r>
          </w:p>
        </w:tc>
      </w:tr>
      <w:tr>
        <w:tc>
          <w:tcPr>
            <w:tcW w:type="dxa" w:w="2160"/>
          </w:tcPr>
          <w:p>
            <w:r>
              <w:t>Fourth</w:t>
            </w:r>
          </w:p>
        </w:tc>
        <w:tc>
          <w:tcPr>
            <w:tcW w:type="dxa" w:w="2160"/>
          </w:tcPr>
          <w:p>
            <w:r>
              <w:t>Total-etch only (enamel 30s, dentin 15s, 37% phosphoric acid)</w:t>
            </w:r>
          </w:p>
        </w:tc>
        <w:tc>
          <w:tcPr>
            <w:tcW w:type="dxa" w:w="2160"/>
          </w:tcPr>
          <w:p>
            <w:r>
              <w:t>Separate bottle 1</w:t>
            </w:r>
          </w:p>
        </w:tc>
        <w:tc>
          <w:tcPr>
            <w:tcW w:type="dxa" w:w="2160"/>
          </w:tcPr>
          <w:p>
            <w:r>
              <w:t>Separate bottle 2</w:t>
            </w:r>
          </w:p>
        </w:tc>
      </w:tr>
      <w:tr>
        <w:tc>
          <w:tcPr>
            <w:tcW w:type="dxa" w:w="2160"/>
          </w:tcPr>
          <w:p>
            <w:r>
              <w:t>Fifth</w:t>
            </w:r>
          </w:p>
        </w:tc>
        <w:tc>
          <w:tcPr>
            <w:tcW w:type="dxa" w:w="2160"/>
          </w:tcPr>
          <w:p>
            <w:r>
              <w:t>Total-etch only (enamel 30s, dentin 15s)</w:t>
            </w:r>
          </w:p>
        </w:tc>
        <w:tc>
          <w:tcPr>
            <w:tcW w:type="dxa" w:w="2160"/>
          </w:tcPr>
          <w:p>
            <w:r>
              <w:t>Combined with adhesive</w:t>
            </w:r>
          </w:p>
        </w:tc>
        <w:tc>
          <w:tcPr>
            <w:tcW w:type="dxa" w:w="2160"/>
          </w:tcPr>
          <w:p>
            <w:r>
              <w:t>Combined with primer (one bottle)</w:t>
            </w:r>
          </w:p>
        </w:tc>
      </w:tr>
      <w:tr>
        <w:tc>
          <w:tcPr>
            <w:tcW w:type="dxa" w:w="2160"/>
          </w:tcPr>
          <w:p>
            <w:r>
              <w:t>Sixth</w:t>
            </w:r>
          </w:p>
        </w:tc>
        <w:tc>
          <w:tcPr>
            <w:tcW w:type="dxa" w:w="2160"/>
          </w:tcPr>
          <w:p>
            <w:r>
              <w:t>Self-etch (no separate etch step) OR selective-etch (enamel 30s only)</w:t>
            </w:r>
          </w:p>
        </w:tc>
        <w:tc>
          <w:tcPr>
            <w:tcW w:type="dxa" w:w="2160"/>
          </w:tcPr>
          <w:p>
            <w:r>
              <w:t>Separate bottle 1</w:t>
            </w:r>
          </w:p>
        </w:tc>
        <w:tc>
          <w:tcPr>
            <w:tcW w:type="dxa" w:w="2160"/>
          </w:tcPr>
          <w:p>
            <w:r>
              <w:t>Separate bottle 2</w:t>
            </w:r>
          </w:p>
        </w:tc>
      </w:tr>
      <w:tr>
        <w:tc>
          <w:tcPr>
            <w:tcW w:type="dxa" w:w="2160"/>
          </w:tcPr>
          <w:p>
            <w:r>
              <w:t>Seventh</w:t>
            </w:r>
          </w:p>
        </w:tc>
        <w:tc>
          <w:tcPr>
            <w:tcW w:type="dxa" w:w="2160"/>
          </w:tcPr>
          <w:p>
            <w:r>
              <w:t>Self-etch OR selective-etch</w:t>
            </w:r>
          </w:p>
        </w:tc>
        <w:tc>
          <w:tcPr>
            <w:tcW w:type="dxa" w:w="2160"/>
          </w:tcPr>
          <w:p>
            <w:r>
              <w:t>Combined with adhesive</w:t>
            </w:r>
          </w:p>
        </w:tc>
        <w:tc>
          <w:tcPr>
            <w:tcW w:type="dxa" w:w="2160"/>
          </w:tcPr>
          <w:p>
            <w:r>
              <w:t>Combined with primer (one bottle)</w:t>
            </w:r>
          </w:p>
        </w:tc>
      </w:tr>
      <w:tr>
        <w:tc>
          <w:tcPr>
            <w:tcW w:type="dxa" w:w="2160"/>
          </w:tcPr>
          <w:p>
            <w:r>
              <w:t>Eighth — UNIVERSAL</w:t>
            </w:r>
          </w:p>
        </w:tc>
        <w:tc>
          <w:tcPr>
            <w:tcW w:type="dxa" w:w="2160"/>
          </w:tcPr>
          <w:p>
            <w:r>
              <w:t>Self-etch, selective-etch, OR full total-etch — clinician's choice, same bottle</w:t>
            </w:r>
          </w:p>
        </w:tc>
        <w:tc>
          <w:tcPr>
            <w:tcW w:type="dxa" w:w="2160"/>
          </w:tcPr>
          <w:p>
            <w:r>
              <w:t>Combined with adhesive</w:t>
            </w:r>
          </w:p>
        </w:tc>
        <w:tc>
          <w:tcPr>
            <w:tcW w:type="dxa" w:w="2160"/>
          </w:tcPr>
          <w:p>
            <w:r>
              <w:t>Combined with primer (one bottle)</w:t>
            </w:r>
          </w:p>
        </w:tc>
      </w:tr>
    </w:tbl>
    <w:p>
      <w:r>
        <w:t>The defining feature of the eighth (universal) generation, made explicit by this table: it is the ONLY generation where the same single-bottle product genuinely supports all three etch strategies — self-etch, selective-etch, AND total-etch — at the clinician's discretion, case by case. Generations four through seven are each locked to one etch philosophy (total-etch for 4th/5th, self-etch-or-selective for 6th/7th); only the 8th/universal generation removes that constraint entirely. [5, p.42]</w:t>
      </w:r>
    </w:p>
    <w:p>
      <w:r>
        <w:rPr>
          <w:b/>
        </w:rPr>
        <w:t xml:space="preserve">Real, exact clinical timing — worth having precisely rather than approximately: </w:t>
      </w:r>
      <w:r>
        <w:t>across every generation and mode, the reported protocol uses the same core numbers consistently: 37% phosphoric acid etch at 30 seconds for enamel and 15 seconds for dentin (with an explicit "do not desiccate" caution specifically for dentin after rinsing); a primer or bonding-agent "scrub" application of 15-20 seconds; and light polymerization of 20 seconds. For the universal (8th-generation) adhesive specifically, all three etch modes converge on the SAME 20-second bonding-agent scrub and 20-second light-cure — the etch mode changes only what happens BEFORE the bonding agent is applied, not the bonding-agent application itself. [5, p.43]</w:t>
      </w:r>
    </w:p>
    <w:p>
      <w:pPr>
        <w:pStyle w:val="Heading1"/>
      </w:pPr>
      <w:r>
        <w:t>3.2.3 Universal Adhesives — Cross-Reference Plus New Evidence</w:t>
      </w:r>
    </w:p>
    <w:p>
      <w:r>
        <w:t>Universal adhesives' compositional requirements and the 2.2-3.2 pH performance range are already covered in Module 1's Sub-Module 3.2 (Section 3.1). What follows is real outcome evidence not previously included.</w:t>
      </w:r>
    </w:p>
    <w:p>
      <w:r>
        <w:rPr>
          <w:b/>
        </w:rPr>
        <w:t xml:space="preserve">A specific 3-year randomized clinical trial finding: </w:t>
      </w:r>
      <w:r>
        <w:t>van Landuyt and colleagues (2011) found that a one-step self-etch adhesive showed SIMILAR overall clinical performance after 3 years compared with an etch-and-rinse adhesive, in Class V restorations specifically. However, the one-step self-etch group showed MORE incisal marginal defects and discoloration than the etch-and-rinse group over that same period — meaning "similar overall performance" is not the same claim as "equivalent on every specific failure metric," and the marginal/esthetic failure mode specifically favored the older, more established etch-and-rinse technique even in this relatively favorable trial for the newer system. [1, p.268]</w:t>
      </w:r>
    </w:p>
    <w:p>
      <w:r>
        <w:rPr>
          <w:b/>
        </w:rPr>
        <w:t xml:space="preserve">A broader, honest evidence caveat: </w:t>
      </w:r>
      <w:r>
        <w:t>at the time Philips' was written, one-step self-etch products had undergone comparatively limited clinical study, and consequently less was known about their long-term performance and bond durability relative to the more established two-step self-etch and etch-and-rinse categories — worth keeping in mind as a general pattern (newer, more convenient systems accumulate long-term outcome data more slowly than the protocols they're replacing) rather than assuming newest is automatically best-proven. [1, p.268]</w:t>
      </w:r>
    </w:p>
    <w:p>
      <w:r>
        <w:br w:type="page"/>
      </w:r>
    </w:p>
    <w:p>
      <w:pPr>
        <w:pStyle w:val="Heading1"/>
      </w:pPr>
      <w:r>
        <w:t>3.2.4 A Concrete Restoration-Type-to-System Matching Guide</w:t>
      </w:r>
    </w:p>
    <w:p>
      <w:r>
        <w:t>Beyond the general etch-strategy classification, Philips' gives specific, restoration-type-matched recommendations — a genuinely practical synthesis worth having as a single reference table: [1, p.268]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Clinical situation</w:t>
            </w:r>
          </w:p>
        </w:tc>
        <w:tc>
          <w:tcPr>
            <w:tcW w:type="dxa" w:w="4320"/>
          </w:tcPr>
          <w:p>
            <w:r>
              <w:t>Recommended adhesive category</w:t>
            </w:r>
          </w:p>
        </w:tc>
      </w:tr>
      <w:tr>
        <w:tc>
          <w:tcPr>
            <w:tcW w:type="dxa" w:w="4320"/>
          </w:tcPr>
          <w:p>
            <w:r>
              <w:t>Bonding composite CORE build-ups</w:t>
            </w:r>
          </w:p>
        </w:tc>
        <w:tc>
          <w:tcPr>
            <w:tcW w:type="dxa" w:w="4320"/>
          </w:tcPr>
          <w:p>
            <w:r>
              <w:t>Three-step, etch-and-rinse ("fourth-generation") — the extra hydrophobic-layer durability benefit (Section 3.2.1 above) matters most for a long-service, high-stress foundation restoration.</w:t>
            </w:r>
          </w:p>
        </w:tc>
      </w:tr>
      <w:tr>
        <w:tc>
          <w:tcPr>
            <w:tcW w:type="dxa" w:w="4320"/>
          </w:tcPr>
          <w:p>
            <w:r>
              <w:t>Bonding anterior and posterior composites; cementing veneers with resin cement</w:t>
            </w:r>
          </w:p>
        </w:tc>
        <w:tc>
          <w:tcPr>
            <w:tcW w:type="dxa" w:w="4320"/>
          </w:tcPr>
          <w:p>
            <w:r>
              <w:t>Two-step etch-and-rinse ("fifth-generation") — the best-performing option for these applications specifically.</w:t>
            </w:r>
          </w:p>
        </w:tc>
      </w:tr>
      <w:tr>
        <w:tc>
          <w:tcPr>
            <w:tcW w:type="dxa" w:w="4320"/>
          </w:tcPr>
          <w:p>
            <w:r>
              <w:t>Bonding posterior composites</w:t>
            </w:r>
          </w:p>
        </w:tc>
        <w:tc>
          <w:tcPr>
            <w:tcW w:type="dxa" w:w="4320"/>
          </w:tcPr>
          <w:p>
            <w:r>
              <w:t>Two-step self-etch ("sixth-generation") is the better choice here — a different recommendation from the anterior/veneer case above, reflecting posterior teeth's different isolation/access/stress profile.</w:t>
            </w:r>
          </w:p>
        </w:tc>
      </w:tr>
      <w:tr>
        <w:tc>
          <w:tcPr>
            <w:tcW w:type="dxa" w:w="4320"/>
          </w:tcPr>
          <w:p>
            <w:r>
              <w:t>Esthetic posts and ceramic restorations bonded with resin cement</w:t>
            </w:r>
          </w:p>
        </w:tc>
        <w:tc>
          <w:tcPr>
            <w:tcW w:type="dxa" w:w="4320"/>
          </w:tcPr>
          <w:p>
            <w:r>
              <w:t>Dual-cure, one-step self-etch ("seventh-generation") — dual-cure chemistry is specifically needed here because light may not fully reach a post space or beneath an opaque/thick ceramic restoration.</w:t>
            </w:r>
          </w:p>
        </w:tc>
      </w:tr>
      <w:tr>
        <w:tc>
          <w:tcPr>
            <w:tcW w:type="dxa" w:w="4320"/>
          </w:tcPr>
          <w:p>
            <w:r>
              <w:t>Bonding posterior composite restorations (light-cured route)</w:t>
            </w:r>
          </w:p>
        </w:tc>
        <w:tc>
          <w:tcPr>
            <w:tcW w:type="dxa" w:w="4320"/>
          </w:tcPr>
          <w:p>
            <w:r>
              <w:t>Light-cured, one-step self-etch ("seventh-generation") — a distinct recommendation from the dual-cure entry above, for situations where the light CAN fully reach the restoration.</w:t>
            </w:r>
          </w:p>
        </w:tc>
      </w:tr>
    </w:tbl>
    <w:p>
      <w:r>
        <w:rPr>
          <w:b/>
        </w:rPr>
        <w:t xml:space="preserve">The pattern worth internalizing, not just the individual rows: </w:t>
      </w:r>
      <w:r>
        <w:t>there is no single "best" adhesive system across all of dentistry — the correct choice tracks the specific clinical demand of the restoration (core-build-up durability vs. posterior access vs. light-reach for a post/ceramic case), which is exactly why this module builds toward Sub-Module 6 (Material Selection &amp; Clinical Decision-Making) rather than presenting adhesive-system choice as a solved, one-size-fits-all question.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Anusavice KJ, Shen C, Rawls HR, eds. Philips' Science of Dental Materials. 13th ed. St. Louis: Elsevier; 2013.</w:t>
      </w:r>
    </w:p>
    <w:p>
      <w:r>
        <w:t>2. Sakaguchi RL, Ferracane JL, Powers JM. Craig's Restorative Dental Materials. 14th ed. St. Louis: Elsevier; 2019.</w:t>
      </w:r>
    </w:p>
    <w:p>
      <w:r>
        <w:t>3. McCabe JF, Walls AWG. Applied Dental Materials. 9th ed. Oxford: Blackwell Publishing; 2008.</w:t>
      </w:r>
    </w:p>
    <w:p>
      <w:r>
        <w:t>4. van Noort R, Barbour M. Introduction to Dental Materials. 4th ed. Edinburgh: Mosby Elsevier; 2013.</w:t>
      </w:r>
    </w:p>
    <w:p>
      <w:r>
        <w:t>5. Alani A, Patel M. Adhesive Techniques in Restorative Dentistry. Cham: Springer (BDJ Clinician's Guides).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