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3.3: Adhesive Protocol &amp; Application</w:t>
      </w:r>
    </w:p>
    <w:p>
      <w:r>
        <w:t>Module 3: Dental Materials &amp; Material Science | Sub-Module 3.3</w:t>
      </w:r>
    </w:p>
    <w:p/>
    <w:p>
      <w:pPr>
        <w:pStyle w:val="Heading2"/>
      </w:pPr>
      <w:r>
        <w:t>Note on Sources</w:t>
      </w:r>
    </w:p>
    <w:p>
      <w:r>
        <w:t xml:space="preserve">Sources used in this document: </w:t>
      </w:r>
      <w:r>
        <w:t>[1] Summitt's Fundamentals of Operative Dentistry (4th ed.) — real light-curing-unit performance statistics and isolation-method clinical guidance not previously covered in this library.</w:t>
      </w:r>
      <w:r>
        <w:t xml:space="preserve"> [2] McCabe JF, Walls AWG. Applied Dental Materials (9th ed.) — a genuine moisture-control dichotomy specific to glass-ionomer restorations, not previously covered.</w:t>
      </w:r>
      <w:r>
        <w:t xml:space="preserve"> [3] Alani A, Patel M. Adhesive Techniques in Restorative Dentistry (BDJ Clinician's Guides). A genuinely modern (2020s) clinical source contributing the unifying "bonding stack" concept, real clinical sandblasting parameters, and soft-tissue manipulation as an under-recognized way to increase bonding surface area.</w:t>
      </w:r>
      <w:r>
        <w:t xml:space="preserve"> [4] Mount GJ. An Atlas of Glass-Ionomer Cements: A Clinician's Guide, 2nd ed. — added this session at the user's request; the real ion-exchange adhesion mechanism (Wilson), real dentine-conditioning parameters, and direct SEM/confocal-microscopy evidence for the dehydration risk this document's GIC-exception section already flagged but did not previously have quantified or visually confirmed.</w:t>
      </w:r>
    </w:p>
    <w:p>
      <w:r>
        <w:rPr>
          <w:b/>
        </w:rPr>
        <w:t xml:space="preserve">Second revision note: </w:t>
      </w:r>
      <w:r>
        <w:t>the user supplied Mount's Atlas of Glass-Ionomer Cements and asked for exhaustive GIC updates across Module 3. Read via page-image rendering (no OCR text layer in the source PDF, no poppler/tesseract in this environment) — Ch.1 (composition/setting/water balance) and Ch.2 (luting) read thoroughly, Ch.3-5 opening sections read, Ch.6-8 not read in similar depth (procedural/Module-1-scoped). Genuinely new content on GIC's real adhesion mechanism and moisture sensitivity added below, directly extending this section's existing GIC exception content rather than duplicating it.</w:t>
      </w:r>
    </w:p>
    <w:p>
      <w:r>
        <w:rPr>
          <w:b/>
        </w:rPr>
        <w:t xml:space="preserve">Revision note: </w:t>
      </w:r>
      <w:r>
        <w:t>the user asked whether McCabe's — on the standing Module 3 secondary source list — had been checked for this sub-module; it had not been. It names a genuine moisture-control dichotomy specific to glass-ionomer restorations that cuts against the "rubber dam is always ideal" default. Added below.</w:t>
      </w:r>
    </w:p>
    <w:p>
      <w:r>
        <w:rPr>
          <w:b/>
        </w:rPr>
        <w:t xml:space="preserve">Revision note: </w:t>
      </w:r>
      <w:r>
        <w:t>the user supplied a genuinely modern textbook, Adhesive Techniques in Restorative Dentistry (Alani &amp; Patel, BDJ Clinician's Guides). It contributes a clean unifying concept for this entire sub-module (the "bonding stack"), real clinical sandblasting parameters not previously covered with this precision, and soft-tissue manipulation as a genuinely distinct way to improve bonding outcomes that neither this sub-module nor Module 1's cross-referenced content had covered. Added below as a new opening Section 3.3.0.</w:t>
      </w:r>
    </w:p>
    <w:p>
      <w:r>
        <w:rPr>
          <w:b/>
        </w:rPr>
        <w:t xml:space="preserve">A significant cross-reference note — please read first: </w:t>
      </w:r>
      <w:r>
        <w:t>this sub-module's scope (moisture management, application sequence, common mistakes) is, almost entirely, already covered in Module 1's Sub-Module 3.2, Section 7 ("Application Protocol and Technique") — oxygen inhibition/air-thinning, the moisture-control difficulty spectrum from routine dentin wet-bonding through the fiber-post extreme, repair protocols, and a synthesized common-mistakes list including 3-step-system-specific errors (Summitt's). That content is genuinely exhaustive already and is cross-referenced below rather than rebuilt. This document adds only what was NOT already covered: real quantified light-curing-unit performance data (directly relevant to the outline's "verify light intensity, use a radiometer" troubleshooting point) and specific isolation-method clinical guidance for situations short of full rubber dam.</w:t>
      </w:r>
    </w:p>
    <w:p>
      <w:r>
        <w:br w:type="page"/>
      </w:r>
    </w:p>
    <w:p>
      <w:pPr>
        <w:pStyle w:val="Heading1"/>
      </w:pPr>
      <w:r>
        <w:t>3.3.0 The "Bonding Stack" — A Unifying Concept for This Entire Sub-Module (Alani &amp; Patel)</w:t>
      </w:r>
    </w:p>
    <w:p>
      <w:r>
        <w:t>Before the specific moisture-management, sequencing, and troubleshooting content below, it's worth naming the framework that ties all of it together: the "bonding stack." Every stage of adhesive bonding — operative-environment management, substrate treatment, the adhesive technique itself, and occlusal control — has to succeed for the restoration to succeed; the whole stack can "collapse" if even ONE stage is compromised, regardless of how well every other stage was executed. [3, p.10]</w:t>
      </w:r>
    </w:p>
    <w:p>
      <w:r>
        <w:rPr>
          <w:b/>
        </w:rPr>
        <w:t xml:space="preserve">Why this framing matters practically, not just as a metaphor: </w:t>
      </w:r>
      <w:r>
        <w:t>the hydrolytic stability of the bond at the interfacial layer is subject to degradation over time through aging (directly connecting to the bond-durability/MMP-degradation content already covered in Module 1's Sub-Module 3.2) — so care taken at the OUTSET, in dry conditions with moisture contamination eliminated, has consequences that only fully manifest much later in the restoration's service life. Every specific failure mode covered elsewhere in this sub-module (inadequate cure, contamination, poor wetting, over-drying) is, in this framework, a single collapsed rung in the same stack — not an isolated, unrelated mistake. [3, p.10]</w:t>
      </w:r>
    </w:p>
    <w:p>
      <w:pPr>
        <w:pStyle w:val="Heading2"/>
      </w:pPr>
      <w:r>
        <w:t>Real Clinical Sandblasting Parameters (Alani &amp; Patel)</w:t>
      </w:r>
    </w:p>
    <w:p>
      <w:r>
        <w:t>Beyond the mechanism-level sandblasting content already covered elsewhere in this module, here are the actual clinical parameters: alumina particles of 20-50 microns diameter are propelled at 30-45 PSI, colliding with the tooth or restoration surface to produce cleaning and roughening. This can be performed wet or dry, in conjunction with high-volume aspiration. [3, p.20]</w:t>
      </w:r>
    </w:p>
    <w:p>
      <w:r>
        <w:rPr>
          <w:b/>
        </w:rPr>
        <w:t xml:space="preserve">Two real, controllable technique variables: </w:t>
      </w:r>
      <w:r>
        <w:t>handpiece DISTANCE from the site controls treatment AREA — further away treats a wider area, closer produces a more focused, localized effect. Independently, PARTICLE SIZE and PRESSURE both control aggressiveness — larger particles and higher pressure both increase abrasion efficacy, but higher pressure specifically also raises the risk of patient discomfort during the procedure, a genuine clinical trade-off to weigh against the abrasion benefit, not just a technical parameter to maximize. [3, p.20]</w:t>
      </w:r>
    </w:p>
    <w:p>
      <w:r>
        <w:rPr>
          <w:b/>
        </w:rPr>
        <w:t xml:space="preserve">Real safety precautions, worth listing precisely: </w:t>
      </w:r>
      <w:r>
        <w:t>eye protection for both clinical team and patient; rubber dam isolation is recommended specifically to reduce pooling or ingestion of alumina particles AND to protect soft tissue from epithelial abrasion/laceration; high-volume aspiration during the process; and barrier protection (PTFE tape, acetate, or metal strips) for adjacent teeth/restorations not intended to be sandblasted. [3, p.21]</w:t>
      </w:r>
    </w:p>
    <w:p>
      <w:pPr>
        <w:pStyle w:val="Heading2"/>
      </w:pPr>
      <w:r>
        <w:t>Soft-Tissue Manipulation — An Under-Recognized Way to Increase Bonding Surface Area (Alani &amp; Patel)</w:t>
      </w:r>
    </w:p>
    <w:p>
      <w:r>
        <w:t>A genuinely distinct strategy not covered anywhere else in this library: the larger the hard-tissue surface area available for adhesive bonding, the better the restoration's retention — and soft-tissue manipulation (removal or repositioning) prior to the adhesive procedure is a real, deliberate way to increase that available surface area, not just a periodontal side consideration. [3, p.10]</w:t>
      </w:r>
    </w:p>
    <w:p>
      <w:r>
        <w:rPr>
          <w:b/>
        </w:rPr>
        <w:t xml:space="preserve">Real technique options and their specific clinical applications: </w:t>
      </w:r>
      <w:r>
        <w:t>gingivectomy (via scalpel blade, dry curettage with a diamond or soft-tissue bur, or electrosurgery) sculpts and repositions the gingival margin to reveal underlying tooth structure — care must be taken not to encroach on the periodontal attachment complex, which risks chronic inflammation or recession at the restoration margin instead. Specific applications: exposing deep preparation margins for impression-taking and cementation of indirect restorations; palatal tissue removal to increase bonding area for tooth-surface-loss management and for resin-bonded-bridge wing retainers; and buccal soft-tissue sculpting, which increases bonding surface AND can improve esthetics via tooth-form/soft-tissue modification simultaneously. [3, p.10]</w:t>
      </w:r>
    </w:p>
    <w:p>
      <w:r>
        <w:rPr>
          <w:b/>
        </w:rPr>
        <w:t xml:space="preserve">A genuine timing/sequencing consideration this raises: </w:t>
      </w:r>
      <w:r>
        <w:t>where soft-tissue procedures are required and hemorrhage is anticipated, it may be prudent to DELAY the adhesive stages to a separate clinical appointment, allowing healing and gingival maturity first — directly connecting to the moisture-control/isolation content in Section 3.3.1 below, since bleeding tissue is itself a moisture-contamination source that would compromise the bonding stack described above. [3, p.12]</w:t>
      </w:r>
    </w:p>
    <w:p>
      <w:pPr>
        <w:pStyle w:val="Heading1"/>
      </w:pPr>
      <w:r>
        <w:t>3.3.1 Moisture Management — Cross-Reference Plus Isolation-Method Detail</w:t>
      </w:r>
    </w:p>
    <w:p>
      <w:r>
        <w:rPr>
          <w:b/>
        </w:rPr>
        <w:t>Full treatment of the wet-bonding balance (too wet vs. too dry vs. optimal) and the moisture-control difficulty spectrum, up to and including fiber-post luting: Module 1, Sub-Module 3.2, Section 7.2.</w:t>
      </w:r>
    </w:p>
    <w:p>
      <w:r>
        <w:rPr>
          <w:b/>
        </w:rPr>
        <w:t xml:space="preserve">New content — matching isolation method to clinical situation: </w:t>
      </w:r>
      <w:r>
        <w:t>a rubber dam is the ideal method of field isolation and moisture control for all direct-placement restorations — but this is not an all-or-nothing requirement. Many Class V lesions can be adequately treated using retraction cord, cotton rolls, and other materials to isolate the lesion and absorb/evacuate moisture, without a rubber dam. The deciding factor for whether a rubber dam becomes necessary rather than merely ideal: if the lesion extends TO or BELOW the gingival margin, a rubber dam becomes specifically useful for retracting the tissue itself, not just for moisture control. [1, p.795]</w:t>
      </w:r>
    </w:p>
    <w:p>
      <w:r>
        <w:t>A specific technique refinement for subgingival cases: an additional rubber-dam retracting clamp placed directly on the tooth being restored can provide further gingival retraction beyond what the dam alone achieves — a No. 212SA clamp is effective for this purpose, though modifications to the clamp may be necessary depending on the specific tooth anatomy. [1, p.795]</w:t>
      </w:r>
    </w:p>
    <w:p>
      <w:r>
        <w:br w:type="page"/>
      </w:r>
    </w:p>
    <w:p>
      <w:pPr>
        <w:pStyle w:val="Heading2"/>
      </w:pPr>
      <w:r>
        <w:t>A GIC-Specific Exception to "Rubber Dam Is Always Ideal" (McCabe's)</w:t>
      </w:r>
    </w:p>
    <w:p>
      <w:r>
        <w:t>For glass-ionomer restorations specifically, there is a genuine dichotomy the resin-bonding literature above does not surface: rubber dam isolation gives the BEST moisture control, but it also risks desiccating the GIC restoration itself if used during placement — a real conflict between the two competing goals (contamination control vs. maintaining the water balance GIC's own setting chemistry needs, per this module's Sub-Module 2.2). [2, p.253]</w:t>
      </w:r>
    </w:p>
    <w:p>
      <w:r>
        <w:rPr>
          <w:b/>
        </w:rPr>
        <w:t xml:space="preserve">The practical resolution: </w:t>
      </w:r>
      <w:r>
        <w:t>careful isolation using cotton rolls or dry guards is usually ADEQUATE for placing GIC restorations — a rubber dam is not mandatory here the way it is emphasized elsewhere for resin bonding. Contamination avoidance still matters greatly: great care is required to avoid contaminating the prepared cavity with saliva before cement placement, since the resulting salivary pellicle will interfere with bonding — pellicle can be removed by treating the dentin with a polyacrylic acid conditioner if contamination does occur. [2, p.253]</w:t>
      </w:r>
    </w:p>
    <w:p>
      <w:r>
        <w:rPr>
          <w:b/>
        </w:rPr>
        <w:t xml:space="preserve">A related, easy-to-overlook risk: </w:t>
      </w:r>
      <w:r>
        <w:t>a tooth already restored with a GIC can still be affected by a LATER procedure elsewhere in the mouth — for example, if it is isolated under rubber dam for an unrelated restorative or endodontic procedure and left exposed to a dry environment for a protracted period, the existing GIC restoration itself is put at desiccation risk, not just a GIC being placed in that same visit. [2, p.253]</w:t>
      </w:r>
    </w:p>
    <w:p>
      <w:pPr>
        <w:pStyle w:val="Heading2"/>
      </w:pPr>
      <w:r>
        <w:t>The Real Ion-Exchange Adhesion Mechanism, and Why the Dehydration Risk Above Is Not a Minor Caveat (Mount's)</w:t>
      </w:r>
    </w:p>
    <w:p>
      <w:r>
        <w:t>Wilson described a genuine, SEM-visible ion-exchange layer that represents the real chemical union between a glass-ionomer cement and tooth structure: the poly(alkenoic acid) attacks and penetrates the tooth structure, displacing phosphate ions. To maintain electrolytic balance, each displaced phosphate ion must take a calcium ion with it — both are taken up into the cement layer immediately adjacent to the tooth, producing an ION-ENRICHED layer that is firmly bound to both enamel and dentine. Because the cement's own tensile strength is relatively low, failure of this union under stress normally occurs WITHIN the cement itself rather than at the tooth interface — meaning, counter-intuitively, that the stronger the cement formulation, the better the practical adhesion, since the weak link is the bulk material, not the bond. [4, p.18]</w:t>
      </w:r>
    </w:p>
    <w:p>
      <w:r>
        <w:rPr>
          <w:b/>
        </w:rPr>
        <w:t xml:space="preserve">Real, specific dentine-conditioning parameters — narrower than a general "clean the surface" instruction: </w:t>
      </w:r>
      <w:r>
        <w:t>the cavity surface should be conditioned with 10% poly(acrylic acid) for 10-15 seconds only. This is long enough to dissolve the smear layer and pre-activate calcium and phosphate ions in the dentine for ion exchange, but left longer than 20 seconds the same acid will begin to demineralize remaining dentine and enamel and open dentinal tubules — the opposite of what conditioning is meant to achieve. Using the cement's OWN acid for this step (rather than a separate etchant) has two real, specific advantages: any residue inadvertently left behind will not interfere with the setting reaction, and it enhances the wettability of the tooth surface while pre-activating the calcium/phosphate ions for exchange. [4, p.18]</w:t>
      </w:r>
    </w:p>
    <w:p>
      <w:r>
        <w:rPr>
          <w:b/>
        </w:rPr>
        <w:t xml:space="preserve">Direct visual (not just inferred) evidence of why the dehydration risk already flagged above is a real structural failure, not a cosmetic one: </w:t>
      </w:r>
      <w:r>
        <w:t>a confocal optical microscope study of a glass-ionomer restoration that was left UNPROTECTED during setting and then soaked in rhodamine B dye showed the cement had visibly LIFTED OFF the dentine, with severe surface degradation and dye penetration to the full depth of the cement. A properly sealed specimen (light-activated resin sealant containing maleic acid) showed, by contrast, excellent adaptation and complete cement integrity under the same test. This is real, direct confirmation — not just a chemical inference — that failing to protect a glass-ionomer during setting does not merely risk a cosmetic surface flaw; it can cause the restoration to detach from the tooth structure it was meant to chemically bond to. [4, p.13]</w:t>
      </w:r>
    </w:p>
    <w:p>
      <w:r>
        <w:rPr>
          <w:b/>
        </w:rPr>
        <w:t xml:space="preserve">The real, quantified asymmetry behind the exception already noted above: </w:t>
      </w:r>
      <w:r>
        <w:t>restorative (slow-set) glass-ionomer remains vulnerable to water UPTAKE for at least 24 hours, but vulnerability to water LOSS by dehydration persists far longer — around 6 months for restorative types and still around 2 weeks even for fast-setting luting/lining formulations. This is why the "careful isolation with cotton rolls is usually adequate" resolution above is genuinely about avoiding DRYING the restoration as much as it is about avoiding excess moisture contamination — both failure directions are real for this specific material class, unlike the resin-bonding protocols covered elsewhere in this document where only excess moisture (not desiccation) is the concern. [4, p.2]</w:t>
      </w:r>
    </w:p>
    <w:p>
      <w:pPr>
        <w:pStyle w:val="Heading1"/>
      </w:pPr>
      <w:r>
        <w:t>3.3.2 Application Sequence — Cross-Reference</w:t>
      </w:r>
    </w:p>
    <w:p>
      <w:r>
        <w:rPr>
          <w:b/>
        </w:rPr>
        <w:t>Full treatment: Module 1, Sub-Module 3.2, Sections 2 (etching/conditioning), 5 (dentin bonding sequence), and 7.1 (oxygen inhibition and air-thinning).</w:t>
      </w:r>
    </w:p>
    <w:p>
      <w:r>
        <w:t>Summary for continuity: the sequence — isolate, clean the preparation, etch (correct concentration/time/coverage), rinse thoroughly, dry carefully (avoiding over-drying), apply primer per manufacturer instructions, apply bonding resin, then light-cure — is fully covered with real mechanistic detail already in the cross-referenced sections above, including the specific finding that air-thinning the bonding resin, while intended to create an even layer, prolongs oxygen exposure and can worsen the oxygen-inhibited (under-cured, sticky) surface layer if overdone.</w:t>
      </w:r>
    </w:p>
    <w:p>
      <w:r>
        <w:br w:type="page"/>
      </w:r>
    </w:p>
    <w:p>
      <w:pPr>
        <w:pStyle w:val="Heading1"/>
      </w:pPr>
      <w:r>
        <w:t>3.3.3 Common Mistakes &amp; Solutions — New Content: Light-Curing Verification</w:t>
      </w:r>
    </w:p>
    <w:p>
      <w:r>
        <w:t>Module 1's Sub-Module 3.2 already synthesizes a comprehensive common-mistakes list from the enamel/dentin bonding mechanisms and 3-step-system-specific errors. What follows is real, quantified evidence specifically on the "insufficient light cure" failure mode the outline flags — evidence striking enough to warrant its own dedicated treatment rather than a bare bullet point.</w:t>
      </w:r>
    </w:p>
    <w:p>
      <w:pPr>
        <w:pStyle w:val="Heading2"/>
      </w:pPr>
      <w:r>
        <w:t>Curing Light Performance in Actual Practice — Worse Than Assumed</w:t>
      </w:r>
    </w:p>
    <w:p>
      <w:r>
        <w:t>A 1999 evaluation of dental practices found that 46% of halogen visible-light-curing units in actual private-practice use provided INADEQUATE output to properly cure resin composite. A later study showed some improvement in that percentage — but a large proportion of halogen units still had inadequate output. A more recent evaluation found 67.5% of halogen units and 15.6% of LED units were considered unsatisfactory. [1, p.625]</w:t>
      </w:r>
    </w:p>
    <w:p>
      <w:r>
        <w:t>This is a genuinely important practice-management point, not just a theoretical curing-chemistry concern: studies have specifically reported very poor curing-light MAINTENANCE in private practice, meaning the problem is often not the technology itself but neglected upkeep — an incandescent quartz-tungsten-halogen (QTH) bulb can cure effectively, but only if it is well-maintained and periodically replaced, which in practice frequently does not happen. [1, p.532]</w:t>
      </w:r>
    </w:p>
    <w:p>
      <w:pPr>
        <w:pStyle w:val="Heading2"/>
      </w:pPr>
      <w:r>
        <w:t>Radiometers — A Real but Honestly Limited Verification Tool</w:t>
      </w:r>
    </w:p>
    <w:p>
      <w:r>
        <w:t>Clinicians should use radiometers to assess their light units' performance, and testing can be conveniently accomplished this way. [1, p.532]</w:t>
      </w:r>
    </w:p>
    <w:p>
      <w:r>
        <w:rPr>
          <w:b/>
        </w:rPr>
        <w:t xml:space="preserve">The honest limitation, stated precisely rather than oversold: </w:t>
      </w:r>
      <w:r>
        <w:t>radiometers can be used to compare RELATIVE values of light output over time (e.g. detecting that a given unit's output has declined since last checked) — but they may provide INACCURATE absolute values, and they cannot reliably be used to predict actual clinical curing performance. A radiometer reading is therefore a useful trend-monitoring tool, not a guarantee that a given reading corresponds to adequate clinical cure depth in a specific restoration. [1, p.533]</w:t>
      </w:r>
    </w:p>
    <w:p>
      <w:pPr>
        <w:pStyle w:val="Heading2"/>
      </w:pPr>
      <w:r>
        <w:t>A Specific Newer-Generation Complication — Photoinitiator/Wavelength Mismatch</w:t>
      </w:r>
    </w:p>
    <w:p>
      <w:r>
        <w:t>Most composites use camphorquinone as their photoinitiator — but because camphorquinone is itself yellow, and unreacted residual molecules can leave a yellowish tint in the cured composite, some manufacturers have switched to less-yellow alternative photoinitiators that instead absorb light energy at LOWER wavelengths, closer to the UV spectrum (around 400 nm). [1, p.532]</w:t>
      </w:r>
    </w:p>
    <w:p>
      <w:r>
        <w:rPr>
          <w:b/>
        </w:rPr>
        <w:t xml:space="preserve">The practical trap this creates: </w:t>
      </w:r>
      <w:r>
        <w:t>a standard LED curing light has minimal output specifically in that lower wavelength range — meaning a composite formulated with one of these newer, less-yellow photoinitiators may cure INADEQUATELY under a standard single-wavelength LED unit, even though the same light cures a conventional camphorquinone-based composite perfectly well. Curing these newer resin systems specifically requires a multi-wavelength curing light. This is a genuinely easy-to-miss mismatch: the failure isn't a broken or under-maintained light, it's a light/material wavelength incompatibility that looks identical to inadequate cure from any other cause unless specifically checked for. [1, p.532]</w:t>
      </w:r>
    </w:p>
    <w:p>
      <w:pPr>
        <w:pStyle w:val="Heading2"/>
      </w:pPr>
      <w:r>
        <w:t>High-Intensity Alternatives — A Trade-off, Not a Strict Upgrade</w:t>
      </w:r>
    </w:p>
    <w:p>
      <w:r>
        <w:t>Argon ion lasers and plasma arc curing (PAC) units offer very high intensity and correspondingly short exposure times — but they are substantially more costly than QTH or LED units, AND serious concerns have been raised about the internal STRESS generated within the composite when curing occurs at such a rapid rate. [1, p.532]</w:t>
      </w:r>
    </w:p>
    <w:p>
      <w:r>
        <w:t>This directly connects back to Module 1's polymerization-shrinkage-stress content: curing FASTER is not an unconditional improvement, because rapid polymerization concentrates the same total volumetric shrinkage into a shorter time window, generating higher instantaneous stress at the tooth-restoration interface — exactly the mechanism incremental-fill and slow-start curing protocols are designed to avoid. A high-intensity light that cures faster is therefore a genuine trade-off between convenience/throughput and shrinkage-stress management, not a strict upgrade over a standard-intensity LED.</w:t>
      </w:r>
    </w:p>
    <w:p>
      <w:r>
        <w:br w:type="page"/>
      </w:r>
    </w:p>
    <w:p>
      <w:pPr>
        <w:pStyle w:val="Heading1"/>
      </w:pPr>
      <w:r>
        <w:t>References</w:t>
      </w:r>
    </w:p>
    <w:p>
      <w:r>
        <w:t>1. Hilton TJ, Ferracane JL, Broome JC, eds. Summitt's Fundamentals of Operative Dentistry: A Contemporary Approach. 4th ed. Chicago: Quintessence Publishing.</w:t>
      </w:r>
    </w:p>
    <w:p>
      <w:r>
        <w:t>2. McCabe JF, Walls AWG. Applied Dental Materials. 9th ed. Oxford: Blackwell Publishing; 2008.</w:t>
      </w:r>
    </w:p>
    <w:p>
      <w:r>
        <w:t>3. Alani A, Patel M. Adhesive Techniques in Restorative Dentistry. Cham: Springer (BDJ Clinician's Guides).</w:t>
      </w:r>
    </w:p>
    <w:p>
      <w:r>
        <w:t>4. Mount GJ. An Atlas of Glass-Ionomer Cements: A Clinician's Guide. 2nd ed. London: Martin Dunitz; 1994.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