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5.1: Biocompatibility Assessment</w:t>
      </w:r>
    </w:p>
    <w:p>
      <w:r>
        <w:t>Module 3: Dental Materials &amp; Material Science | Sub-Module 5.1</w:t>
      </w:r>
    </w:p>
    <w:p/>
    <w:p>
      <w:pPr>
        <w:pStyle w:val="Heading2"/>
      </w:pPr>
      <w:r>
        <w:t>Note on Sources</w:t>
      </w:r>
    </w:p>
    <w:p>
      <w:r>
        <w:t xml:space="preserve">Sources used in this document: </w:t>
      </w:r>
      <w:r>
        <w:t>[1] Craig RG, Powers JM, Sakaguchi RL, eds. Craig's Restorative Dental Materials, 14th ed. (primary) — the pyramid biocompatibility testing schemes, ANSI/ADA Specification No. 41 history, ISO 10993/ISO 7405, and a real comparative screening-test dataset (Mjör et al. 1977). [2] Anusavice, Shen, Rawls, eds. Philips' Science of Dental Materials, 13th ed. — the Gell &amp; Coombs Type I-V hypersensitivity classification, real clinical case photographs (nickel allergy, lichenoid mucositis, amalgam tattoo as a NON-allergic mimic), and quantified patch-test frequency data. [3] Craig RG (ed.), Restorative Dental Materials, 11th ed. (Michigan) — Chapter 5 (Wataha), the single most detailed source found for in vitro/animal test methodology: agar overlay, Millipore filter, and dentin barrier tests; MTT and vital/nonvital dye tests; the guinea pig maximization test; and a real Ames-test sensitivity/specificity/concordance dataset (Table 5-2). [4] Bonsor SJ, Pearson GJ. A Clinical Guide to Applied Dental Materials — a genuinely distinct angle: occupational hypersensitivity risk to the DENTAL TEAM (not just the patient), and a real UK regulatory/reporting framework (MHRA, University of Sheffield ARRP, COSHH, MSDS). [5] van Noort R, Barbour M. Introduction to Dental Materials, 4th ed. — real, quantified comparative formaldehyde-release data for two endodontic sealers. [6] McCabe JF, Walls AWG. Applied Dental Materials — real ISO residual-monomer limits for denture base acrylic and their link to allergic/irritant reactions. [7] Powers JM, Wataha JC. Dental Materials: Properties and Manipulation, 10th ed. — hydrogen peroxide as the specific cytotoxic component of whitening agents, and a practical residual-monomer mitigation technique for chemical-cured acrylics.</w:t>
      </w:r>
    </w:p>
    <w:p>
      <w:r>
        <w:t xml:space="preserve">Per the standing skill rule (grepping is not the same as reading), all eight standing Module 3 textbooks were grepped for this sub-module's key terms (biocompatibility, cytotoxic, ISO 10993, sensitization, hypersensitivity, allergen, patch test, contact dermatitis, carcinogenicity, mutagenicity) and then the passages behind every non-trivial hit were actually read before deciding whether to cite. </w:t>
      </w:r>
      <w:r>
        <w:t>Alani A, Patel M. Adhesive Techniques in Restorative Dentistry was checked this way and genuinely found not applicable to this specific sub-module — its only matches are a single passing mention of nickel allergy as a bridge-framework material-selection rationale (Ch.9) and a use of "hypersensitivity" meaning dentin hypersensitivity, not an immune reaction. This is a real finding from reading the text, not a hit-count-based dismissal.</w:t>
      </w:r>
    </w:p>
    <w:p>
      <w:r>
        <w:rPr>
          <w:b/>
        </w:rPr>
        <w:t xml:space="preserve">Cross-reference note: </w:t>
      </w:r>
      <w:r>
        <w:t>zinc phosphate cement's low initial pH and exothermic setting reaction, and eugenol's role in ZOE cement pulpal sensitivity, are already covered in Sub-Module 4.1 and are cross-referenced rather than repeated here. This document builds the genuinely new territory the outline calls for: the formal testing/standards framework, the specific in vitro/animal test methods and their real comparative performance data, and the clinical/occupational allergenicity picture.</w:t>
      </w:r>
    </w:p>
    <w:p>
      <w:r>
        <w:br w:type="page"/>
      </w:r>
    </w:p>
    <w:p>
      <w:pPr>
        <w:pStyle w:val="Heading1"/>
      </w:pPr>
      <w:r>
        <w:t>5.1.1 Biocompatibility Testing Standards</w:t>
      </w:r>
    </w:p>
    <w:p>
      <w:pPr>
        <w:pStyle w:val="Heading2"/>
      </w:pPr>
      <w:r>
        <w:t>The Pyramid Testing Scheme — A Real, Evolving Framework (Craig's 14th ed.)</w:t>
      </w:r>
    </w:p>
    <w:p>
      <w:r>
        <w:t>Biocompatibility testing has historically been organized as a pyramid: all materials are tested at the BOTTOM tier, and materials are progressively "weeded out" as testing moves toward the top. In the earliest scheme, the bottom tier held unspecific toxicity tests (any in vitro or animal test not necessarily matched to the material's actual use), the middle tier held specific toxicity tests more relevant to the material's use, and the top tier was a clinical trial. A later scheme relabelled these tiers PRIMARY, SECONDARY, and USAGE tests, and broadened their scope beyond toxicity alone to include immunogenicity and mutagenicity — with a usage test (in an animal) sitting below the final human clinical trial rather than replacing it. [1, p.96]</w:t>
      </w:r>
    </w:p>
    <w:p>
      <w:r>
        <w:rPr>
          <w:b/>
        </w:rPr>
        <w:t xml:space="preserve">Why the number of tests SHRINKS as testing progresses — the real logic: </w:t>
      </w:r>
      <w:r>
        <w:t>only materials that "pass" the first tier graduate to the second, and only those that pass the second graduate to clinical trials — funnelling the most expensive, time-consuming step (clinical trials) toward only the safest candidate materials. Any material surviving all three tiers is deemed acceptable for clinical use. [1, p.96]</w:t>
      </w:r>
    </w:p>
    <w:p>
      <w:r>
        <w:rPr>
          <w:b/>
        </w:rPr>
        <w:t xml:space="preserve">A real, honest limitation of this scheme: </w:t>
      </w:r>
      <w:r>
        <w:t>in vitro and animal tests cannot unequivocally screen a material "in" or "out" with certainty, which has driven newer testing schemes. These newer schemes treat biocompatibility assessment as an ONGOING process rather than a one-time pass/fail gate — inflammatory-response tests in animals, for instance, remain useful not only during a material's development but also if a problem is reported after the material has already reached the market. [1, p.97]</w:t>
      </w:r>
    </w:p>
    <w:p>
      <w:pPr>
        <w:pStyle w:val="Heading2"/>
      </w:pPr>
      <w:r>
        <w:t>A Real Comparative Dataset — Screening Tests Do Not Always Agree With Each Other (Craig's 14th ed.)</w:t>
      </w:r>
    </w:p>
    <w:p>
      <w:r>
        <w:t>A classic study (Mjör et al., 1977) compared three restorative materials — silicate cement, resin composite, and ZOE — across three different test types (cell culture, connective-tissue implantation, and actual pulp response), scored qualitatively from 0 (no reaction) to +++ (severe). The results diverge sharply by test type: ZOE scored +++ (severe) in cell culture but 0 (no reaction) in the actual pulp; silicate scored + (slight) in cell culture but ++ (moderate) in the pulp — essentially the REVERSE pattern. [1, p.96]</w:t>
      </w:r>
    </w:p>
    <w:p>
      <w:r>
        <w:rPr>
          <w:b/>
        </w:rPr>
        <w:t xml:space="preserve">The direct clinical lesson this table teaches: </w:t>
      </w:r>
      <w:r>
        <w:t>a screening test result (especially an in vitro cell-culture result) does NOT reliably predict the material's actual in vivo pulpal behaviour, and a material must never be judged safe or unsafe from a single test type in isolation — exactly the reasoning that has pushed testing schemes toward combining multiple test types rather than relying on any one. [1, p.96]</w:t>
      </w:r>
    </w:p>
    <w:p>
      <w:pPr>
        <w:pStyle w:val="Heading2"/>
      </w:pPr>
      <w:r>
        <w:t>ANSI/ADA Specification No. 41 and ISO 10993/7405 — Real Regulatory History (Craig's 14th ed.)</w:t>
      </w:r>
    </w:p>
    <w:p>
      <w:r>
        <w:t>In 1972 the ADA approved Specification No. 41, "Recommended Standard Practices for Biological Evaluation of Dental Materials" — itself following the 1976 U.S. Medical Device Bill, which first gave biological testing of medical devices (including dental materials) real regulatory priority. The 2005 revision of Spec. 41 describes three test categories: INITIAL tests (in vitro cytotoxicity, hemolysis, mutagenesis/carcinogenesis assays, plus in vivo acute-distress/death testing), SECONDARY tests (small-animal in vivo tests for inflammatory/immunogenic potential — dermal irritation, subcutaneous/bony implantation, hypersensitivity), and USAGE tests (larger animals, often primates, and finally, with FDA approval, humans). [1, p.98]</w:t>
      </w:r>
    </w:p>
    <w:p>
      <w:r>
        <w:rPr>
          <w:b/>
        </w:rPr>
        <w:t xml:space="preserve">ISO 10993 and ISO 7405 — how they relate to the ADA standard: </w:t>
      </w:r>
      <w:r>
        <w:t>international standard ISO 10993 (published 1992) divides tests into INITIAL tests (cytotoxicity, sensitization, systemic toxicity — some in vitro, some in non-usage animal situations) and SUPPLEMENTARY tests (chronic toxicity, carcinogenicity, biodegradation — mostly animal, often in actual usage situations). Its dental-specific revision, ISO 7405:2008, is the current standard specifically for dental materials. Guidelines for WHICH tests a given material needs are based on duration of contact, whether it touches body surface only, blood, or bone, and whether the device communicates externally — but the final choice of tests is left to the manufacturer, who must defend the results. The 2005 ANSI/ADA Spec. 41 was itself revised specifically to conform to ISO 10993. [1, p.98]</w:t>
      </w:r>
    </w:p>
    <w:p>
      <w:pPr>
        <w:pStyle w:val="Heading2"/>
      </w:pPr>
      <w:r>
        <w:t>In Vitro Cytotoxicity Test Methods — Real, Specific Mechanisms (Michigan Craig's, Ch.5)</w:t>
      </w:r>
    </w:p>
    <w:p>
      <w:r>
        <w:rPr>
          <w:b/>
        </w:rPr>
        <w:t xml:space="preserve">Direct-contact cell culture tests: </w:t>
      </w:r>
      <w:r>
        <w:t>a material sample is placed in the centre of a cell-culture well; after 1-3 days, cells have multiplied everywhere EXCEPT where the material inhibited growth — producing a visible "ring of inhibition" whose size is used to rank cytotoxicity. [3, p.137]</w:t>
      </w:r>
    </w:p>
    <w:p>
      <w:r>
        <w:rPr>
          <w:b/>
        </w:rPr>
        <w:t xml:space="preserve">Membrane-permeability (dye) tests — the real distinction between two dye classes: </w:t>
      </w:r>
      <w:r>
        <w:t>VITAL dyes (e.g. neutral red, 51Cr) are actively transported INTO healthy cells and retained there, and LEAK OUT if the cell is injured. NONVITAL dyes (e.g. trypan blue, propidium iodide) are normally EXCLUDED by a healthy cell but diffuse IN if the membrane is compromised. The advantage of this whole approach is that it identifies cells that are alive or dead under a microscope — important because a material can leave cells physically present but dead ("fixed"). [3, p.137]</w:t>
      </w:r>
    </w:p>
    <w:p>
      <w:r>
        <w:rPr>
          <w:b/>
        </w:rPr>
        <w:t xml:space="preserve">The MTT test — a real enzymatic-activity mechanism: </w:t>
      </w:r>
      <w:r>
        <w:t>MTT is a yellow, soluble compound that living cells' dehydrogenase enzymes convert into a BLUE, INSOLUBLE formazan product. If cytotoxic effects have disabled the dehydrogenases, no formazan forms. The amount of formazan (measured by optical density, or localized under a microscope) is directly proportional to remaining cellular enzymatic activity. [3, p.137]</w:t>
      </w:r>
    </w:p>
    <w:p>
      <w:pPr>
        <w:pStyle w:val="Heading2"/>
      </w:pPr>
      <w:r>
        <w:t>Barrier (Indirect) Tests — Why They Exist and a Real Explanatory Case (ZOE)</w:t>
      </w:r>
    </w:p>
    <w:p>
      <w:r>
        <w:t>Direct-contact cell culture tests do not reflect the in vivo reality that materials are often SEPARATED from cells by a barrier (keratinized epithelium, dentin, extracellular matrix). Two real barrier methods: the AGAR OVERLAY test (a thin agar layer, pre-stained with neutral red, separates the material from a cultured cell monolayer — a cytotoxic material injures the cells beneath, releasing the dye and leaving a visible zone of inhibition), and the MILLIPORE FILTER test (a cellulose-ester filter with a cell monolayer and an agar gel layer, turned over so the filter faces the test material). Both give, at best, a RANKING of relative cytotoxicity, not an absolute value — the agar's own variable diffusion properties make it hard to correlate zone width precisely with the concentration of leachable toxic products. [3, p.138]</w:t>
      </w:r>
    </w:p>
    <w:p>
      <w:r>
        <w:rPr>
          <w:b/>
        </w:rPr>
        <w:t xml:space="preserve">The dentin barrier test — the real mechanistic explanation for ZOE's mild clinical pulpal reaction despite severe cell-culture cytotoxicity: </w:t>
      </w:r>
      <w:r>
        <w:t>dentin forms a genuine diffusion barrier that toxic material components must cross to reach pulp tissue, and dentin THICKNESS correlates directly with the protection it offers. This is specifically why ZOE's pulpal reaction is relatively MILD in practice compared to the severe reaction it produces in direct-contact cell culture or connective-tissue implantation tests — the remaining dentin thickness in vivo is doing real protective work that a direct-contact in vitro test cannot capture. A dentin-disk device is used to model this directly, with the material on one side and a collection/culture medium on the other, so diffusion through the disk (rather than direct contact) is what's actually measured. [3, p.138]</w:t>
      </w:r>
    </w:p>
    <w:p>
      <w:pPr>
        <w:pStyle w:val="Heading2"/>
      </w:pPr>
      <w:r>
        <w:t>Animal Tests — Real, Specific Methods (Michigan Craig's, Ch.5)</w:t>
      </w:r>
    </w:p>
    <w:p>
      <w:r>
        <w:rPr>
          <w:b/>
        </w:rPr>
        <w:t xml:space="preserve">Mucous membrane irritation test: </w:t>
      </w:r>
      <w:r>
        <w:t>the test material, plus positive and negative controls, is placed in contact with hamster cheek-pouch tissue or rabbit oral tissue for several weeks; gross tissue reactions are recorded and photographed in the living animal, after which the animal is sacrificed for histological evaluation of inflammatory change. [3, p.139]</w:t>
      </w:r>
    </w:p>
    <w:p>
      <w:r>
        <w:rPr>
          <w:b/>
        </w:rPr>
        <w:t xml:space="preserve">The guinea pig maximization test — the real skin-sensitization mechanism: </w:t>
      </w:r>
      <w:r>
        <w:t>the material is injected INTRADERMALLY into guinea pigs (Freund's adjuvant may be used to augment the reaction), followed by a SECONDARY exposure via an adhesive patch containing the test substance. If the initial injection produced hypersensitivity, the later patch elicits an inflammatory response ranging from no reaction to intense redness and swelling — the degree of this patch reaction, and the percentage of animals reacting, is what is actually used to estimate the material's allergenicity. [3, p.139]</w:t>
      </w:r>
    </w:p>
    <w:p>
      <w:r>
        <w:rPr>
          <w:b/>
        </w:rPr>
        <w:t xml:space="preserve">A named strategy for mutagenicity/carcinogenicity animal testing — the decision-point approach: </w:t>
      </w:r>
      <w:r>
        <w:t>tests are applied in a specific ORDER, and testing stops as soon as any one test indicates mutagenic potential. Tests are further divided into LIMITED-TERM in vivo tests (altered liver function or tumour induction over a fraction of the animal's lifetime) and LONG-TERM/lifetime tests (the chemical stays in contact with the animal for most of its life) — a real, deliberate distinction in how much of an animal's life a given test protocol actually commits. [3, p.140]</w:t>
      </w:r>
    </w:p>
    <w:p>
      <w:pPr>
        <w:pStyle w:val="Heading2"/>
      </w:pPr>
      <w:r>
        <w:t>Mutagenicity/Carcinogenicity Screening — Real Comparative Test Performance Data (Michigan Craig's, Ch.5)</w:t>
      </w:r>
    </w:p>
    <w:p>
      <w:r>
        <w:t>The Ames test is the most widely used short-term mutagenicity test and the only one considered thoroughly validated. It uses mutant Salmonella typhimurium strains that require exogenous histidine to grow; a chemical that significantly increases the REVERSION rate back to a native (histidine-independent) strain is scored as having a high probability of being a mammalian carcinogen, because it has measurably altered genetic material. The Styles' Cell Transformation test offers a mammalian-cell alternative, quantifying a potential carcinogen's ability to transform standardized fibroblast lines so they grow within soft agar — a property that, uniquely among in vitro markers, correlates with the same cells' ability to produce tumours in vivo. [3, p.140]</w:t>
      </w:r>
    </w:p>
    <w:p>
      <w:r>
        <w:rPr>
          <w:b/>
        </w:rPr>
        <w:t xml:space="preserve">A real comparative dataset (Table 5-2, adapted from Tennant et al., Science 1987) across four short-term tests: </w:t>
      </w:r>
      <w:r>
        <w:t>the Ames test had the HIGHEST specificity (86% — correctly calling known noncarcinogens negative) and the highest positive predictability (83% — a positive Ames result really was a carcinogen 83% of the time), but its SENSITIVITY was the lowest of the four at only 45% — meaning it missed over HALF of all known carcinogens. By comparison, the sister chromatid exchange (SCE) assay and the mouse lymphoma mutagenesis assay had considerably higher sensitivity (73% and 70% respectively). Concordance with actual rodent carcinogenicity tests across all four short-term tests ranged only 50-62%. Despite its comparatively weak sensitivity, the Ames test remains the most commonly used screening test in practice specifically because it is technically easier to run and more extensively described in the literature than the alternatives — a real, honest trade-off between practical convenience and screening completeness, worth stating rather than treating the Ames test as simply "the best" test. [3, p.141]</w:t>
      </w:r>
    </w:p>
    <w:p>
      <w:pPr>
        <w:pStyle w:val="Heading2"/>
      </w:pPr>
      <w:r>
        <w:t>Formaldehyde as a Real, Quantified Cytotoxicity Case (van Noort's)</w:t>
      </w:r>
    </w:p>
    <w:p>
      <w:r>
        <w:t>Among resin-based endodontic sealers, AH26 shows a moderate cytotoxic response when freshly mixed, associated specifically with the formaldehyde released as a by-product of its own setting reaction — real, quantified release data put AH26 at 1347 ppm formaldehyde, compared with only 3.9 ppm for the newer AH Plus formulation. AH26's cytotoxicity is much reduced once it has fully set, whereas Diaket (a different resin sealer) RETAINS a degree of cytotoxicity even after full set — a genuine material-specific exception to the general "resins lose their toxicity once set" rule. [5, p.134]</w:t>
      </w:r>
    </w:p>
    <w:p/>
    <w:p>
      <w:pPr>
        <w:pStyle w:val="Heading1"/>
      </w:pPr>
      <w:r>
        <w:t>5.1.2 Cytotoxic Materials in Dentistry</w:t>
      </w:r>
    </w:p>
    <w:p>
      <w:r>
        <w:rPr>
          <w:b/>
        </w:rPr>
        <w:t xml:space="preserve">Cross-reference: </w:t>
      </w:r>
      <w:r>
        <w:t>zinc phosphate cement's early low pH/exothermic-reaction cytotoxicity mechanism and ZOE's eugenol-driven pulpal sensitivity are covered in Sub-Module 4.1 and are not repeated here.</w:t>
      </w:r>
    </w:p>
    <w:p>
      <w:pPr>
        <w:pStyle w:val="Heading2"/>
      </w:pPr>
      <w:r>
        <w:t>Residual Monomer — A Real, Regulated Threshold (McCabe's / Powers &amp; Wataha's)</w:t>
      </w:r>
    </w:p>
    <w:p>
      <w:r>
        <w:t>Denture base acrylic's ISO standard sets an upper limit on residual (unreacted) monomer content: 2.2% for most denture base material types, but a notably more generous 4.5% for type 2 (self-cure/chemical-cure) materials — the standard separately asks manufacturers to recommend a curing cycle that achieves under 1% residual monomer in practice. The curing regime used matters directly: a SHORT cure with minimal or no terminal boil produces both higher residual monomer AND inferior mechanical properties, whereas a longer cure with a 2-3 hour terminal boil can reduce residual monomer to well below 1%. Higher residual monomer is also linked to higher material solubility. [6, p.121]</w:t>
      </w:r>
    </w:p>
    <w:p>
      <w:r>
        <w:rPr>
          <w:b/>
        </w:rPr>
        <w:t xml:space="preserve">The real clinical distinction this creates — allergy vs. simple irritation: </w:t>
      </w:r>
      <w:r>
        <w:t>some patients are genuinely ALLERGIC to acrylic resin, specifically to residual MMA monomer, and require an alternative material once this is confirmed. Separately, patients who are NOT allergic can still suffer irritation if monomer levels are unusually high (e.g. an undercured denture base) — two mechanistically distinct problems that both present as denture-base-related soft-tissue reaction, but only one of which is a true hypersensitivity requiring material substitution rather than simply a better cure. [6, p.121]</w:t>
      </w:r>
    </w:p>
    <w:p>
      <w:r>
        <w:rPr>
          <w:b/>
        </w:rPr>
        <w:t xml:space="preserve">Chemical-cured vs. heat-cured acrylic — a real comparative mechanism and mitigation technique: </w:t>
      </w:r>
      <w:r>
        <w:t>residual monomer levels are HIGHEST in chemical-cured acrylic polymers specifically because heat-cured polymers release much of their residual monomer into the hot-water bath during processing, whereas chemical-cured polymers have no equivalent leaching step built into their processing. A practical, real mitigation: free monomer levels in chemical-cured polymers CAN be reduced to acceptable levels simply by soaking the finished denture in water for several days before delivering it to the patient — a genuinely actionable clinical/laboratory step, not just a materials-science caveat. [7, p.174]</w:t>
      </w:r>
    </w:p>
    <w:p>
      <w:r>
        <w:rPr>
          <w:b/>
        </w:rPr>
        <w:t xml:space="preserve">An occupational-safety corollary (Bonsor's): </w:t>
      </w:r>
      <w:r>
        <w:t>acrylic powder dust and MMA monomer vapour in the working atmosphere should both be kept to a minimum, since dental technicians handling and manipulating acrylic resin are the ones most continuously exposed — a real occupational, not just patient-facing, cytotoxicity concern. [6, p.121]</w:t>
      </w:r>
    </w:p>
    <w:p>
      <w:pPr>
        <w:pStyle w:val="Heading2"/>
      </w:pPr>
      <w:r>
        <w:t>Hydrogen Peroxide — A Real, Dose-Correlated Cytotoxic Mechanism in Whitening Agents (Powers &amp; Wataha's)</w:t>
      </w:r>
    </w:p>
    <w:p>
      <w:r>
        <w:t>In-office whitening agents commonly contain 30-35% hydrogen peroxide. Hydrogen peroxide has been shown to be the main cytotoxic COMPONENT of peroxide-based whitening agents specifically, and — importantly — the extent of cytotoxicity CORRESPONDS to the peroxide concentration used, a genuine dose-response relationship rather than an all-or-nothing effect. Peroxide whitening agents are also able to diffuse readily through as little as 0.5mm of dentin, meaning pulpal exposure is a real mechanistic risk, not just a theoretical one, particularly where dentin thickness is reduced. [7, p.76]</w:t>
      </w:r>
    </w:p>
    <w:p/>
    <w:p>
      <w:pPr>
        <w:pStyle w:val="Heading1"/>
      </w:pPr>
      <w:r>
        <w:t>5.1.3 Allergenicity &amp; Hypersensitivity</w:t>
      </w:r>
    </w:p>
    <w:p>
      <w:pPr>
        <w:pStyle w:val="Heading2"/>
      </w:pPr>
      <w:r>
        <w:t>The Gell &amp; Coombs Classification — Why Metal-Ion Allergy Behaves Differently From Latex Allergy (Philips')</w:t>
      </w:r>
    </w:p>
    <w:p>
      <w:r>
        <w:t>Materials such as latex can trigger allergy directly by activating antibodies — classified as Type I, II, or III reactions under the Gell &amp; Coombs classification of immune responses, which occur QUICKLY and are modulated by antibody-producing eosinophils, mast cells, or B lymphocytes. Metal ions, by contrast, must first bind to a host molecule before they can provoke a reaction, producing a DELAYED Type IV hypersensitivity reaction modulated instead by monocytes and T cells — the type most often associated with contact dermatitis. [2, p.116]</w:t>
      </w:r>
    </w:p>
    <w:p>
      <w:r>
        <w:rPr>
          <w:b/>
        </w:rPr>
        <w:t xml:space="preserve">The five Gell &amp; Coombs types, briefly: </w:t>
      </w:r>
      <w:r>
        <w:t>Type I is an immediate, IgE/IgG4-mediated atopic or anaphylactic reaction, occurring in individuals with a genetic predisposition (atopy) to sensitization against common environmental antigens (usually proteins) — presenting as asthma, rhinoconjunctivitis, or eczema. Type II is a cytotoxic hypersensitivity reaction, Type III an immune-complex hypersensitivity reaction, Type IV the delayed/cell-mediated reaction described above, and Type V a rare stimulating-antibody reaction sometimes classified as a Type II subcategory. [2, p.116]</w:t>
      </w:r>
    </w:p>
    <w:p>
      <w:pPr>
        <w:pStyle w:val="Heading2"/>
      </w:pPr>
      <w:r>
        <w:t>Real Clinical Presentations — and a Genuine, Named Mimic to Rule Out (Philips')</w:t>
      </w:r>
    </w:p>
    <w:p>
      <w:r>
        <w:t>Real documented presentations of metal-ion allergic reactions include: a watchband-buckle reaction to nickel (confirming a patient's nickel sensitivity generally, useful history even before any dental treatment); bilateral erythema associated with recently cemented nickel-alloy metal-ceramic crowns; and a severe lip reaction to a nickel-containing orthodontic wire. Bilateral lichenoid mucositis lesions adjacent to GOLD alloy crowns have also been documented. [2, p.117]</w:t>
      </w:r>
    </w:p>
    <w:p>
      <w:r>
        <w:rPr>
          <w:b/>
        </w:rPr>
        <w:t xml:space="preserve">A genuine, important mimic to rule out — the amalgam tattoo: </w:t>
      </w:r>
      <w:r>
        <w:t>large blue-coloured intraoral discolored-membrane areas ("amalgam tattoos") are explicitly NOT associated with allergic reactions to mercury or any other amalgam component. They are caused mechanically — small amalgam granules falling into open wounds created during condensation/carving of amalgam restorations, or during placement of retrograde root-end fillings — a real, named, purely mechanical mimic that a clinician should not mistake for an allergic response. [2, p.117]</w:t>
      </w:r>
    </w:p>
    <w:p>
      <w:r>
        <w:rPr>
          <w:b/>
        </w:rPr>
        <w:t xml:space="preserve">A real caution about unstandardized self-testing: </w:t>
      </w:r>
      <w:r>
        <w:t>patients sometimes tape metal discs (e.g. nickel-chromium alloy) to their own skin and present the result to the clinician. This type of self-administered test is explicitly NOT standardized, and its results should not be used to confirm OR reject a suspected metal allergy — only a proper battery of dental patch-test substances, professionally administered, can do that. A definitive allergy diagnosis to a crown's metal components genuinely requires this formal patch-test battery plus a thorough dental and medical history, not inference from a photograph of an inflamed site alone. [2, p.118]</w:t>
      </w:r>
    </w:p>
    <w:p>
      <w:pPr>
        <w:pStyle w:val="Heading2"/>
      </w:pPr>
      <w:r>
        <w:t>Real, Quantified Patch-Test Data (Philips')</w:t>
      </w:r>
    </w:p>
    <w:p>
      <w:r>
        <w:t>Reported frequencies of POSITIVE patch-test responses to common dental allergen substances: gold sodium thiosulfate 14.0%, nickel sulfate 13.2%, mercury 9.9%, palladium chloride 7.4%, cobalt chloride 5.0%, and HEMA 5.8% (Goon et al., 2006) — real, ranked, quantified data rather than a generic "metals can cause allergy" statement. [2, p.125]</w:t>
      </w:r>
    </w:p>
    <w:p>
      <w:r>
        <w:rPr>
          <w:b/>
        </w:rPr>
        <w:t xml:space="preserve">HEMA as the single best screening substance for methacrylate allergy — real sensitivity data: </w:t>
      </w:r>
      <w:r>
        <w:t>HEMA alone, used as a screening substance, picked up 96.7% of patients with a genuine methacrylate allergy, and 100% of DENTAL PERSONNEL specifically found to have a methacrylate allergy — making HEMA the most efficient single substance to test first when methacrylate allergy is suspected, rather than needing to test every individual methacrylate monomer separately. [2, p.125]</w:t>
      </w:r>
    </w:p>
    <w:p>
      <w:pPr>
        <w:pStyle w:val="Heading2"/>
      </w:pPr>
      <w:r>
        <w:t>Occupational Hypersensitivity — A Real, Distinct Risk to the Dental TEAM, Not Just the Patient (Bonsor's)</w:t>
      </w:r>
    </w:p>
    <w:p>
      <w:r>
        <w:rPr>
          <w:b/>
        </w:rPr>
        <w:t xml:space="preserve">A real, specific, and somewhat counter-intuitive risk ranking: </w:t>
      </w:r>
      <w:r>
        <w:t>of the dental team, the DENTAL NURSE carries the highest risk of developing an occupational allergy to dental materials (particularly methacrylate monomers such as MMA and HEMA), followed by the clinician, then the patient, then the dental technician — a ranking worth naming explicitly since it runs counter to the assumption that the clinician handling the material directly bears the greatest exposure risk. [4, PDF p.80]</w:t>
      </w:r>
    </w:p>
    <w:p>
      <w:r>
        <w:rPr>
          <w:b/>
        </w:rPr>
        <w:t xml:space="preserve">A real, practical safety gap: </w:t>
      </w:r>
      <w:r>
        <w:t>standard surgical gloves are POROUS, and chemicals such as HEMA can penetrate them readily — meaning glove use alone does not guarantee protection from skin contact with methacrylate monomers. The recommended mitigation is a genuine no-touch technique combined with good "resin hygiene," and if skin or glove contact does occur, the gloves should be removed immediately, hands thoroughly washed and dried, before donning a fresh pair and continuing. [4, PDF p.81]</w:t>
      </w:r>
    </w:p>
    <w:p>
      <w:r>
        <w:rPr>
          <w:b/>
        </w:rPr>
        <w:t xml:space="preserve">A real regulatory/reporting framework, given as a worked example (UK): </w:t>
      </w:r>
      <w:r>
        <w:t>clinicians have an obligation to report confirmed or suspected adverse material reactions to the relevant regulatory body — in the UK this includes a dedicated University of Sheffield-run adverse reaction reporting database for dental materials specifically, distinct from the MHRA (which is primarily drug-focused). Separately, COSHH (Control of Substances Hazardous to Health) regulations require a documented risk assessment for every chemical/material used in a dental workplace, covering required PPE, exposure limits, hazard properties, precautions, first-aid response, spillage procedure, and handling/storage — typically compiled from a manufacturer-supplied Materials Safety Data Sheet (MSDS). A genuinely counter-intuitive legal point: failing to CARRY OUT a risk assessment at all is treated as a more serious regulatory failure than carrying one out incorrectly. [4, PDF p.82]</w:t>
      </w:r>
    </w:p>
    <w:p>
      <w:r>
        <w:br w:type="page"/>
      </w:r>
    </w:p>
    <w:p>
      <w:pPr>
        <w:pStyle w:val="Heading1"/>
      </w:pPr>
      <w:r>
        <w:t>References</w:t>
      </w:r>
    </w:p>
    <w:p>
      <w:r>
        <w:t>1. Craig RG, Powers JM, Sakaguchi RL, eds. Craig's Restorative Dental Materials. 14th ed. St. Louis: Mosby Elsevier.</w:t>
      </w:r>
    </w:p>
    <w:p>
      <w:r>
        <w:t>2. Anusavice KJ, Shen C, Rawls HR, eds. Philips' Science of Dental Materials. 13th ed. St. Louis: Elsevier; 2013.</w:t>
      </w:r>
    </w:p>
    <w:p>
      <w:r>
        <w:t>3. Craig RG, ed. Restorative Dental Materials. 11th ed. St. Louis: Mosby; 2002.</w:t>
      </w:r>
    </w:p>
    <w:p>
      <w:r>
        <w:t>4. Bonsor SJ, Pearson GJ. A Clinical Guide to Applied Dental Materials. Edinburgh: Churchill Livingstone Elsevier; 2013.</w:t>
      </w:r>
    </w:p>
    <w:p>
      <w:r>
        <w:t>5. van Noort R, Barbour M. Introduction to Dental Materials. 4th ed. Edinburgh: Mosby Elsevier.</w:t>
      </w:r>
    </w:p>
    <w:p>
      <w:r>
        <w:t>6. McCabe JF, Walls AWG, eds. Applied Dental Materials. 9th ed. Oxford: Wiley-Blackwell; 2008.</w:t>
      </w:r>
    </w:p>
    <w:p>
      <w:r>
        <w:t>7. Powers JM, Wataha JC. Dental Materials: Properties and Manipulation. 10th ed. St. Louis: Elsevier; 2013.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