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6.1: Material Selection Criteria</w:t>
      </w:r>
    </w:p>
    <w:p>
      <w:r>
        <w:t>Module 3: Dental Materials &amp; Material Science | Sub-Module 6.1</w:t>
      </w:r>
    </w:p>
    <w:p/>
    <w:p>
      <w:pPr>
        <w:pStyle w:val="Heading2"/>
      </w:pPr>
      <w:r>
        <w:t>Note on Sources</w:t>
      </w:r>
    </w:p>
    <w:p>
      <w:r>
        <w:t>Sources used in this document: [1] Anusavice KJ, Shen C, Rawls HR, eds. Philips' Science of Dental Materials, 13th ed. — the primary source; the only one of the five with a dedicated, explicitly titled selection-criteria section (posterior composites) and the only one with quantified, named comparative survival/failure-rate data. [2] van Noort R, Barbour M. Introduction to Dental Materials, 4th ed. — the clinical-performance framework and the real, quantified amalgam replacement-cycle data. [3] Sakaguchi RL, Ferracane JL, Powers JM. Craig's Restorative Dental Materials, 14th ed. — amalgam's concise advantage/disadvantage profile and modern CAD/CAM survival data. [4] Craig RG, ed. Restorative Dental Materials, 11th ed. (Michigan) — a distinct, dated (2002) snapshot of the same amalgam summary, with a genuinely different public-health framing and market-share observation. [5] Bonsor SJ, Pearson GJ. A Clinical Guide to Applied Dental Materials — the only source covering the practice-management side of "selection" (stock economics, shelf-life, rationalization) rather than the clinical/biological side.</w:t>
      </w:r>
      <w:r>
        <w:t xml:space="preserve"> [6] Bhat VS, Nandish BT, Jayaprakash K. Science of Dental Materials with Clinical Applications, 3rd ed. — added on audit; a real historical account of how selection criteria themselves have shifted over time, and a real, specific, ANSI/ADA-anchored checklist for selecting amalgam alloy specifically.</w:t>
      </w:r>
    </w:p>
    <w:p>
      <w:r>
        <w:t>Per the standing skill rule, all twelve standing Module 3 textbooks were grepped for this sub-module's key terms (material selection, selection criteria, longevity, survival rate, cost-effective, failure rate) before finalizing sources. McCabe's, Powers &amp; Wataha's, Bhat's, Alani &amp; Patel's, and Advanced Dental Metallic Materials were grepped and their hits read, not just counted — their selection/longevity/failure content was found to concern topics already covered elsewhere in Module 3 or genuinely out of scope for this sub-module (implant loosening, denture-tooth selection, orthodontic wire selection, finishing-abrasive gloss units, alloy castability) rather than the amalgam/composite/indirect-restoration selection question this sub-module addresses, so none is cited here. The three endodontic-materials specialist sources (Ionescu &amp; Hahnel's, Chopra's, Torabinejad's) were checked and are not relevant to this restorative-material-selection topic at all.</w:t>
      </w:r>
    </w:p>
    <w:p>
      <w:r>
        <w:rPr>
          <w:b/>
        </w:rPr>
        <w:t xml:space="preserve">Audit note: </w:t>
      </w:r>
      <w:r>
        <w:t>the user asked why Bhat's (Science of Dental Materials) and Michigan Craig's (Restorative Dental Materials) did not appear in this document's references, since both were confirmed standing sources for Module 3. Re-audit found: (1) Michigan Craig's WAS already cited [4] but its own "SELECTION OF ALLOY" section (a real, quantified, market-share-anchored selection discussion) had not been checked — added below. Also, its p.287 citation was a page-number error; the correct printed page is 288, corrected in place. (2) Bhat's had been checked only by grep hit-count and dismissed as "not relevant" in this document's original Note on Sources, without being read — a direct violation of the standing "grepping is not reading" rule. On actual reading, Bhat's had two genuinely new, substantive passages: a real historical-shift account of selection criteria, and a real, ANSI/ADA-anchored "Criteria for Selection of Alloys" checklist specific to amalgam. Both added below; Bhat's is now cited as [6].</w:t>
      </w:r>
    </w:p>
    <w:p>
      <w:r>
        <w:t>Cross-reference note: amalgam's own composition, setting reaction, and mechanical properties are covered in Sub-Module 8.2; composite resin composition and properties are covered in Sub-Module 2.3; ceramic and cast-metal material properties are covered in Sub-Module 2.1/2.2. This document covers the CHOICE between these already-described materials, not their own chemistry.</w:t>
      </w:r>
    </w:p>
    <w:p/>
    <w:p>
      <w:pPr>
        <w:pStyle w:val="Heading1"/>
      </w:pPr>
      <w:r>
        <w:t>6.1.1 Selection Factors by Application</w:t>
      </w:r>
    </w:p>
    <w:p>
      <w:pPr>
        <w:pStyle w:val="Heading2"/>
      </w:pPr>
      <w:r>
        <w:t>What Actually Determines Clinical Success — a Real Three-Factor Framework (van Noort's)</w:t>
      </w:r>
    </w:p>
    <w:p>
      <w:r>
        <w:t>Restoration failure comes in several genuinely distinct guises, and van Noort's opens its treatment of restorative materials by naming them precisely: unacceptable esthetics (e.g., composite discoloration, reflecting a lack of chemical stability in the biological environment), an allergic reaction or excessive corrosion (a biocompatibility failure), or outright mechanical failure (fracture or excessive wear, from poor design or a material used outside its suited circumstances). A real, concise, three-factor framework follows directly from this: the clinical performance of a dental restoration depends on (1) appropriate material selection, based on a real knowledge of each material's properties; (2) the optimum design of the restoration itself; and (3) a real knowledge of how the material will interact with the biological environment [2, p.6]. This sub-module is concerned specifically with the first of these three factors — material selection cannot be separated from the other two in practice, but it is the one this sub-module isolates for systematic treatment.</w:t>
      </w:r>
    </w:p>
    <w:p>
      <w:pPr>
        <w:pStyle w:val="Heading2"/>
      </w:pPr>
      <w:r>
        <w:t>The Search for the Ideal Restorative Material, and a Real, Named Reason None Exists (Philips')</w:t>
      </w:r>
    </w:p>
    <w:p>
      <w:r>
        <w:t>Philips' states explicitly, and this is worth taking literally rather than as rhetorical flourish: despite real improvements in the physical properties of dental materials, none of them is permanent, and dentists and materials scientists continue to search for the ideal restorative material. Such a material would, in five real, specific respects: (1) be biocompatible; (2) bond permanently to tooth structure or bone; (3) match the natural appearance of tooth structure and other visible tissues; (4) exhibit properties similar to those of tooth enamel, dentin, and other tissues; and (5) be capable of initiating tissue repair or the regeneration of missing or damaged tissues [1, p.5]. Every selection decision covered in the rest of this sub-module is, in effect, a trade-off among these five criteria — no available material satisfies all five, so material selection is fundamentally the discipline of choosing which trade-off is acceptable for a given clinical situation, not of finding a single "best" material.</w:t>
      </w:r>
    </w:p>
    <w:p>
      <w:pPr>
        <w:pStyle w:val="Heading2"/>
      </w:pPr>
      <w:r>
        <w:t>Real, Specific Indications and Contraindications for Posterior Composite vs. Amalgam (Philips')</w:t>
      </w:r>
    </w:p>
    <w:p>
      <w:r>
        <w:t>Philips' gives this decision its own explicitly titled section — Selection Criteria for Posterior Composites — and its content is more specific than the generic "esthetics vs. durability" framing often assumed. Not all patients should be considered candidates for posterior composite restorations at all: the primary indication for using direct posterior composite in place of amalgam is esthetics, and unless the patient's esthetic demand is genuinely high, there is minimal advantage to using resin restorations posteriorly — the disadvantages, coupled with the greater difficulty of manipulation, often outweigh the benefits. A real secondary indication is the need for a conservative preparation and conservation of tooth structure; because composite does not depend on mechanical undercuts for retention, the classical concepts of resistance form and retention form do not really apply to resin preparations the way they do to amalgam [1, p.301].</w:t>
      </w:r>
    </w:p>
    <w:p>
      <w:r>
        <w:t>The contraindications are equally specific and real, not vague cautions: because of composite's inferior physical properties relative to amalgam and cast metal, it should NOT be used for cuspal coverage or for large restorations exceeding one-third of the buccolingual width of the tooth — occlusal load should always be borne by sound tooth structure, never by resin. Because wear is a genuine issue, posterior composites should not be placed in patients with parafunctional habits (bruxism); a composite class II restoration is, in Philips' own words, "doomed to failure" in a bruxing patient because of greater wear potential. Use of posterior composite in a caries-active mouth is also questionable, since few current restorative materials can provide an anticariogenic effect or reliably resist leakage — if composite must be used in such a mouth, applying a hydrophilic sealing resin along the margins may help. A real, lesser indication worth naming: composite's lower thermal conductivity relative to amalgam's metallic conductivity can be a genuine reason to prefer it, since amalgam's rapid heat conduction can itself produce tooth sensitivity and pain [1, p.301, p.295].</w:t>
      </w:r>
    </w:p>
    <w:p>
      <w:pPr>
        <w:pStyle w:val="Heading2"/>
      </w:pPr>
      <w:r>
        <w:t>Amalgam's Real, Concise Advantage/Disadvantage Profile — Why an 80-Year-Old Material Persists (Craig's 14th ed. / Michigan Craig's)</w:t>
      </w:r>
    </w:p>
    <w:p>
      <w:r>
        <w:t>Craig's 14th ed. gives a genuinely concise, balanced summary worth reproducing directly rather than paraphrasing into vagueness. Real advantages: amalgam restorations are reasonably easy to insert, are not overly technique sensitive, maintain anatomical form, have reasonably adequate resistance to fracture, prevent marginal leakage after a period in the mouth (via corrosion-product self-sealing), can be used in stress-bearing areas, and have a relatively long service life. Real disadvantages: amalgam's silver color does not match tooth structure; it is somewhat brittle; it is subject to corrosion and galvanic action; it may show a degree of marginal breakdown; it does not help retain weakened tooth structure the way an adhesively bonded material can; and there are real regulatory concerns about its disposal in wastewater. Despite these shortcomings, Craig's own summary judgment is direct: dental amalgam "has a long history as a cost-effective and successful restorative material" [3, p.171].</w:t>
      </w:r>
    </w:p>
    <w:p>
      <w:r>
        <w:t>Michigan Craig's (2002) gives essentially the same advantage/disadvantage list but adds two real, distinct framings this 2019 edition does not carry in the same passage: an explicit public-health argument — "many argue... that the use of amalgam must be strongly supported given its large public health benefit in the United States and many other countries" — and an explicit, dated market-share observation that "cast gold and esthetic restorative materials are now very competitive in terms of frequency of use" [4, p.288]. Read together, these two summaries — written 17 years apart — capture a real, ongoing shift in amalgam's market position without either edition needing to state it as an explicit trend.</w:t>
      </w:r>
    </w:p>
    <w:p>
      <w:pPr>
        <w:pStyle w:val="Heading2"/>
      </w:pPr>
      <w:r>
        <w:t>A Real Historical Shift in What "Selection Criteria" Even Means (Bhat's)</w:t>
      </w:r>
    </w:p>
    <w:p>
      <w:r>
        <w:t>Bhat's makes a real, specific historical claim worth adding to the frameworks already given above: earlier, the main criteria for selecting a restorative material were its mechanical properties, thermal and chemical stability, and esthetic qualities — but the more recent trend in selection is mainly based on BIOCOMPATIBILITY instead, requiring in vivo and in vitro testing to estimate a material's biohazardous properties before it is used at all [6, p.133]. This is a real, dated shift in emphasis, not a replacement of the older criteria — mechanical/thermal/esthetic properties (Philips' five-criteria framework above) still matter, but biocompatibility has moved from an implicit assumption to an explicit, tested selection criterion in its own right, directly connecting this sub-module to Sub-Module 5.1's biocompatibility-testing content.</w:t>
      </w:r>
    </w:p>
    <w:p>
      <w:pPr>
        <w:pStyle w:val="Heading2"/>
      </w:pPr>
      <w:r>
        <w:t>A Real, ANSI/ADA-Anchored Checklist for Selecting Amalgam Alloy Specifically (Bhat's)</w:t>
      </w:r>
    </w:p>
    <w:p>
      <w:r>
        <w:t>Beyond the general amalgam-vs-composite selection question already covered above, Bhat's gives a real, specific checklist for choosing AMONG amalgam alloy products — a narrower, more practical selection question the other sources in this document do not address at this level of detail. Selection should follow ANSI/ADA Specification No. 1 to secure high one-hour and maximum compressive strength, minimum dimensional change, the lowest available creep value, good condensing properties, high corrosion resistance, and good polishing/finishing ability. In practice, this real checklist translates into a specific product profile: a high-copper, single-composition alloy, with small particles, aged (rather than freshly milled) particles to reduce distortion from internal-stress relaxation, and specifically a NON-zinc formulation to avoid delayed expansion (Sub-Module 8.2 covers delayed expansion's mechanism in full) [6, p.210]. A real, separate longevity figure from the same source is worth setting alongside Philips' own general-practice/controlled-trial figures already given above: Bhat's states a silver amalgam restoration can survive on average 12-15 years if proper selection and manipulative precautions are followed — a real, plausible middle-ground figure between Philips' 7-15-year general-practice range and its 55-70-year controlled-trial projection [6, p.210].</w:t>
      </w:r>
    </w:p>
    <w:p>
      <w:pPr>
        <w:pStyle w:val="Heading2"/>
      </w:pPr>
      <w:r>
        <w:t>A Real, Quantified Market-Share Snapshot Behind "Select High-Copper Alloy" (Michigan Craig's)</w:t>
      </w:r>
    </w:p>
    <w:p>
      <w:r>
        <w:t>Michigan Craig's gives its own, separately titled "Selection of Alloy" section, and adds a real, specific, quantified snapshot behind the general recommendation for high-copper alloy already established above: it is estimated that MORE than 90% of dental amalgams placed (as of this 2002 text) are high-copper alloys, with high-copper unicompositional (spherical) and admixed types dominating, and admixed slightly favored over unicompositional. The real, stated reasons selection converged this heavily on one alloy family: high-copper alloy produces a restoration with no gamma-2 phase, high early strength, low creep, good corrosion resistance, and good resistance to marginal fracture — a direct, real link back to the amalgam-alloy-composition-vs-survival data already given in Sub-Module 6.1.2 below [4, p.302].</w:t>
      </w:r>
    </w:p>
    <w:p>
      <w:pPr>
        <w:pStyle w:val="Heading2"/>
      </w:pPr>
      <w:r>
        <w:t>Practice-Level Selection Constraints Clinical Textbooks Rarely Cover — Stock Economics, Rationalization, and Shelf-Life (Bonsor's)</w:t>
      </w:r>
    </w:p>
    <w:p>
      <w:r>
        <w:t>Bonsor's is the only one of the standing Module 3 textbooks to treat material selection from the practice-management side rather than the clinical/biological side, and its content here is genuinely distinct, not a restatement. A dental practice must hold a sufficient volume and range of materials, but every unit of stock sitting in a cupboard represents real, tied-up capital — stock appears on the clinic's balance sheet as a current asset, and unless stock control is carefully managed, capital sits needlessly as stock rather than working for the practice's cash flow [5, PDF p.124].</w:t>
      </w:r>
    </w:p>
    <w:p>
      <w:r>
        <w:t>A real, practical selection principle follows directly from this: rationalize materials across the practice. There is no benefit to a clinic stocking two products of the same generic type from competing manufacturers (e.g., two brands of resin-modified glass ionomer lining cement) — agreeing on one reduces stock volume with no detriment to care. A related principle: prefer materials with multiple genuine indications over single-purpose products, since one product covering several applications (Bonsor's own example: a clear bite registration material also used as an occlusal matrix for posterior composites) further reduces the range of materials a clinic must carry [5, PDF p.125].</w:t>
      </w:r>
    </w:p>
    <w:p>
      <w:r>
        <w:t>A third, real constraint: shelf-life itself can influence which material a dentist selects in preference to another, since a longer shelf-life reduces the risk of a product reaching its use-by date unused and having to be discarded, and materials used past their use-by date are not guaranteed by the manufacturer to perform as intended — a degraded catalyst, for example, can mean a material fails to set fully, directly compromising its physical properties and clinical performance [5, PDF p.126]. This is a genuinely different dimension of "material selection" from the clinical criteria above — a practice-economics and logistics dimension — and the two should not be conflated when a student is asked why a given material was chosen for a given case.</w:t>
      </w:r>
    </w:p>
    <w:p>
      <w:pPr>
        <w:pStyle w:val="Heading1"/>
      </w:pPr>
      <w:r>
        <w:t>6.1.2 Evidence-Based Selection</w:t>
      </w:r>
    </w:p>
    <w:p>
      <w:pPr>
        <w:pStyle w:val="Heading2"/>
      </w:pPr>
      <w:r>
        <w:t>A Real, Precisely Quantified Comparative Table — Survival Probabilities Across Material Classes (Philips', citing Chadwick et al., 2001)</w:t>
      </w:r>
    </w:p>
    <w:p>
      <w:r>
        <w:t>Philips' reproduces a genuinely useful quantified comparison (from a National Health Service Centre for Reviews and Dissemination systematic review, University of York, 2001) of survival probability (%) across restoration types, separately for primary and permanent teeth, at 3, 4, 5, and 7 years [1, p.297]: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Restoration Type</w:t>
            </w:r>
          </w:p>
        </w:tc>
        <w:tc>
          <w:tcPr>
            <w:tcW w:type="dxa" w:w="1728"/>
          </w:tcPr>
          <w:p>
            <w:r>
              <w:t>3 yr (Primary / Permanent)</w:t>
            </w:r>
          </w:p>
        </w:tc>
        <w:tc>
          <w:tcPr>
            <w:tcW w:type="dxa" w:w="1728"/>
          </w:tcPr>
          <w:p>
            <w:r>
              <w:t>4 yr (Primary / Permanent)</w:t>
            </w:r>
          </w:p>
        </w:tc>
        <w:tc>
          <w:tcPr>
            <w:tcW w:type="dxa" w:w="1728"/>
          </w:tcPr>
          <w:p>
            <w:r>
              <w:t>5 yr (Primary / Permanent)</w:t>
            </w:r>
          </w:p>
        </w:tc>
        <w:tc>
          <w:tcPr>
            <w:tcW w:type="dxa" w:w="1728"/>
          </w:tcPr>
          <w:p>
            <w:r>
              <w:t>7 yr (Permanent)</w:t>
            </w:r>
          </w:p>
        </w:tc>
      </w:tr>
      <w:tr>
        <w:tc>
          <w:tcPr>
            <w:tcW w:type="dxa" w:w="1728"/>
          </w:tcPr>
          <w:p>
            <w:r>
              <w:t>Amalgam</w:t>
            </w:r>
          </w:p>
        </w:tc>
        <w:tc>
          <w:tcPr>
            <w:tcW w:type="dxa" w:w="1728"/>
          </w:tcPr>
          <w:p>
            <w:r>
              <w:t>95.3 / 97.2</w:t>
            </w:r>
          </w:p>
        </w:tc>
        <w:tc>
          <w:tcPr>
            <w:tcW w:type="dxa" w:w="1728"/>
          </w:tcPr>
          <w:p>
            <w:r>
              <w:t>95.1 / 96.6</w:t>
            </w:r>
          </w:p>
        </w:tc>
        <w:tc>
          <w:tcPr>
            <w:tcW w:type="dxa" w:w="1728"/>
          </w:tcPr>
          <w:p>
            <w:r>
              <w:t>90.8 / 95.4</w:t>
            </w:r>
          </w:p>
        </w:tc>
        <w:tc>
          <w:tcPr>
            <w:tcW w:type="dxa" w:w="1728"/>
          </w:tcPr>
          <w:p>
            <w:r>
              <w:t>94.5</w:t>
            </w:r>
          </w:p>
        </w:tc>
      </w:tr>
      <w:tr>
        <w:tc>
          <w:tcPr>
            <w:tcW w:type="dxa" w:w="1728"/>
          </w:tcPr>
          <w:p>
            <w:r>
              <w:t>Composite</w:t>
            </w:r>
          </w:p>
        </w:tc>
        <w:tc>
          <w:tcPr>
            <w:tcW w:type="dxa" w:w="1728"/>
          </w:tcPr>
          <w:p>
            <w:r>
              <w:t>82.4 / 90.0</w:t>
            </w:r>
          </w:p>
        </w:tc>
        <w:tc>
          <w:tcPr>
            <w:tcW w:type="dxa" w:w="1728"/>
          </w:tcPr>
          <w:p>
            <w:r>
              <w:t>67.2 / 85.6</w:t>
            </w:r>
          </w:p>
        </w:tc>
        <w:tc>
          <w:tcPr>
            <w:tcW w:type="dxa" w:w="1728"/>
          </w:tcPr>
          <w:p>
            <w:r>
              <w:t>— / 78.2</w:t>
            </w:r>
          </w:p>
        </w:tc>
        <w:tc>
          <w:tcPr>
            <w:tcW w:type="dxa" w:w="1728"/>
          </w:tcPr>
          <w:p>
            <w:r>
              <w:t>67.4</w:t>
            </w:r>
          </w:p>
        </w:tc>
      </w:tr>
      <w:tr>
        <w:tc>
          <w:tcPr>
            <w:tcW w:type="dxa" w:w="1728"/>
          </w:tcPr>
          <w:p>
            <w:r>
              <w:t>Glass Ionomer</w:t>
            </w:r>
          </w:p>
        </w:tc>
        <w:tc>
          <w:tcPr>
            <w:tcW w:type="dxa" w:w="1728"/>
          </w:tcPr>
          <w:p>
            <w:r>
              <w:t>51.5 / 73.8</w:t>
            </w:r>
          </w:p>
        </w:tc>
        <w:tc>
          <w:tcPr>
            <w:tcW w:type="dxa" w:w="1728"/>
          </w:tcPr>
          <w:p>
            <w:r>
              <w:t>51.5 / 73.8</w:t>
            </w:r>
          </w:p>
        </w:tc>
        <w:tc>
          <w:tcPr>
            <w:tcW w:type="dxa" w:w="1728"/>
          </w:tcPr>
          <w:p>
            <w:r>
              <w:t>31.2 / 64.9</w:t>
            </w:r>
          </w:p>
        </w:tc>
        <w:tc>
          <w:tcPr>
            <w:tcW w:type="dxa" w:w="1728"/>
          </w:tcPr>
          <w:p>
            <w:r>
              <w:t>—</w:t>
            </w:r>
          </w:p>
        </w:tc>
      </w:tr>
      <w:tr>
        <w:tc>
          <w:tcPr>
            <w:tcW w:type="dxa" w:w="1728"/>
          </w:tcPr>
          <w:p>
            <w:r>
              <w:t>DBA + Composite</w:t>
            </w:r>
          </w:p>
        </w:tc>
        <w:tc>
          <w:tcPr>
            <w:tcW w:type="dxa" w:w="1728"/>
          </w:tcPr>
          <w:p>
            <w:r>
              <w:t>— / 83.7</w:t>
            </w:r>
          </w:p>
        </w:tc>
        <w:tc>
          <w:tcPr>
            <w:tcW w:type="dxa" w:w="1728"/>
          </w:tcPr>
          <w:p>
            <w:r>
              <w:t>— / 47.7</w:t>
            </w:r>
          </w:p>
        </w:tc>
        <w:tc>
          <w:tcPr>
            <w:tcW w:type="dxa" w:w="1728"/>
          </w:tcPr>
          <w:p>
            <w:r>
              <w:t>— / 41.5</w:t>
            </w:r>
          </w:p>
        </w:tc>
        <w:tc>
          <w:tcPr>
            <w:tcW w:type="dxa" w:w="1728"/>
          </w:tcPr>
          <w:p>
            <w:r>
              <w:t>—</w:t>
            </w:r>
          </w:p>
        </w:tc>
      </w:tr>
      <w:tr>
        <w:tc>
          <w:tcPr>
            <w:tcW w:type="dxa" w:w="1728"/>
          </w:tcPr>
          <w:p>
            <w:r>
              <w:t>Ceramic or Composite Inlay</w:t>
            </w:r>
          </w:p>
        </w:tc>
        <w:tc>
          <w:tcPr>
            <w:tcW w:type="dxa" w:w="1728"/>
          </w:tcPr>
          <w:p>
            <w:r>
              <w:t>— / 93.3</w:t>
            </w:r>
          </w:p>
        </w:tc>
        <w:tc>
          <w:tcPr>
            <w:tcW w:type="dxa" w:w="1728"/>
          </w:tcPr>
          <w:p>
            <w:r>
              <w:t>— / 90.1</w:t>
            </w:r>
          </w:p>
        </w:tc>
        <w:tc>
          <w:tcPr>
            <w:tcW w:type="dxa" w:w="1728"/>
          </w:tcPr>
          <w:p>
            <w:r>
              <w:t>—</w:t>
            </w:r>
          </w:p>
        </w:tc>
        <w:tc>
          <w:tcPr>
            <w:tcW w:type="dxa" w:w="1728"/>
          </w:tcPr>
          <w:p>
            <w:r>
              <w:t>—</w:t>
            </w:r>
          </w:p>
        </w:tc>
      </w:tr>
    </w:tbl>
    <w:p>
      <w:r>
        <w:t>Amalgam's consistently higher survival probability across every interval and both dentition types is the single clearest quantified justification, from this data, for amalgam's continued clinical use despite its esthetic and regulatory disadvantages — glass ionomer's markedly lower survival correctly reflects its intended role as a lining/Type II restorative rather than a definitive stress-bearing material (Sub-Module 8.4 covers glass ionomer's own properties).</w:t>
      </w:r>
    </w:p>
    <w:p>
      <w:pPr>
        <w:pStyle w:val="Heading2"/>
      </w:pPr>
      <w:r>
        <w:t>Annual Failure Rates by Restoration Type — a Real, Head-to-Head Comparison (Philips', citing Manhart et al., 2004)</w:t>
      </w:r>
    </w:p>
    <w:p>
      <w:r>
        <w:t>A separate, more recent review (Manhart et al., 2004) gives annual clinical failure rates specifically for class I and II posterior stress-bearing cavities, and the comparison contains a genuinely surprising result: composite inlays and amalgam restorations had the SAME annual failure rate (1.9%), direct composite was somewhat worse (3.6%), and cast gold inlays/onlays were only slightly — not significantly — better than either amalgam or composite inlays (1.4%) [1, p.296]. The same review, extended to a broader comparison of indirect versus direct resin restorations across the posterior dentition generally, found indirect restorations had significantly lower annual failure rates than direct restorations (P = 0.0031); the principal reasons for failure across both groups were secondary caries, fracture, marginal deficiencies, wear, and postoperative sensitivity [1, p.305].</w:t>
      </w:r>
    </w:p>
    <w:p>
      <w:r>
        <w:t>The clinical lesson worth stating explicitly: an indirect (inlay/onlay) composite restoration is not simply "composite in a different shape" — its clinical failure-rate profile is statistically indistinguishable from amalgam's and meaningfully better than direct composite's, which is a real, quantified argument for indirect fabrication specifically in large or high-stress posterior cavities where esthetics are still desired, rather than defaulting to direct composite by habit.</w:t>
      </w:r>
    </w:p>
    <w:p>
      <w:pPr>
        <w:pStyle w:val="Heading2"/>
      </w:pPr>
      <w:r>
        <w:t>The Gap Between Controlled Trials and General Practice — a Real, Dramatic Discrepancy (Philips')</w:t>
      </w:r>
    </w:p>
    <w:p>
      <w:r>
        <w:t>Amalgam's own longevity figures contain a genuinely important, easily overlooked caveat: the reported survival time depends heavily on whether the restorations were placed in general practice or in controlled clinical studies. Median survival times for posterior amalgam restorations were 7 to 15 years in general practice (with larger, more complex restorations falling at the lower end of this range) — but in controlled clinical studies, where calibrated dentists worked under few time constraints on motivated patients, projected median survival times were 55 to 70 years [1, p.358]. This roughly eightfold gap is not a contradiction in the data; it is a real, honest illustration of how far actual general-practice conditions (time pressure, variable technique, variable patient compliance) fall short of a restoration's true achievable longevity under ideal conditions — a point directly relevant to how a student should interpret ANY published longevity figure, amalgam or otherwise.</w:t>
      </w:r>
    </w:p>
    <w:p>
      <w:pPr>
        <w:pStyle w:val="Heading2"/>
      </w:pPr>
      <w:r>
        <w:t>Amalgam Alloy Composition Predicts Survival — a Real, Quantified Comparison (Philips')</w:t>
      </w:r>
    </w:p>
    <w:p>
      <w:r>
        <w:t>A composite of 14 independent controlled clinical studies (initiated between 1974 and 1983) rated amalgam survival by copper and zinc content, and the ranking is real and quantified, not merely qualitative: modern high-copper amalgams containing zinc had the best overall survival, nearly 90% after 12 years; high-copper amalgams without zinc performed next best, at approximately 80%; conventional low-copper amalgams with zinc came next; and low-copper, zinc-free amalgams performed worst, with failure in 50% of restorations after only 10 years. The survival curves for the two high-copper groups could only be distinguished from approximately 6 years onward, when the additional benefit of zinc became apparent — the combined, probably synergistic corrosion-protective effect of copper and zinc content is the most likely explanation offered, though the precise mechanism is not completely understood [1, p.358]. This directly cross-references Sub-Module 8.2's coverage of amalgam's own gamma-phase chemistry and corrosion behavior — this table is the clinical-outcome evidence that the material-science chemistry in 8.2 is actually predicting.</w:t>
      </w:r>
    </w:p>
    <w:p>
      <w:pPr>
        <w:pStyle w:val="Heading1"/>
      </w:pPr>
      <w:r>
        <w:t>References</w:t>
      </w:r>
    </w:p>
    <w:p>
      <w:r>
        <w:t>1. Anusavice KJ, Shen C, Rawls HR, eds. Philips' Science of Dental Materials. 13th ed. St. Louis: Elsevier; 2013.</w:t>
      </w:r>
    </w:p>
    <w:p>
      <w:r>
        <w:t>2. van Noort R, Barbour M. Introduction to Dental Materials. 4th ed. Edinburgh: Mosby Elsevier; 2013.</w:t>
      </w:r>
    </w:p>
    <w:p>
      <w:r>
        <w:t>3. Sakaguchi RL, Ferracane JL, Powers JM. Craig's Restorative Dental Materials. 14th ed. St. Louis: Elsevier; 2019.</w:t>
      </w:r>
    </w:p>
    <w:p>
      <w:r>
        <w:t>4. Craig RG, ed. Restorative Dental Materials. 11th ed. St. Louis: Mosby; 2002.</w:t>
      </w:r>
    </w:p>
    <w:p>
      <w:r>
        <w:t>5. Bonsor SJ, Pearson GJ. A Clinical Guide to Applied Dental Materials. Edinburgh: Churchill Livingstone Elsevier; 2013.</w:t>
      </w:r>
    </w:p>
    <w:p>
      <w:r>
        <w:t>6. Bhat VS, Nandish BT, Jayaprakash K. Science of Dental Materials with Clinical Applications. 3rd ed. New Delhi: CBS Publishers &amp; Distributors.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