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6.2: Cost-Effectiveness &amp; Longevity Analysis</w:t>
      </w:r>
    </w:p>
    <w:p>
      <w:r>
        <w:t>Module 3: Dental Materials &amp; Material Science | Sub-Module 6.2</w:t>
      </w:r>
    </w:p>
    <w:p/>
    <w:p>
      <w:pPr>
        <w:pStyle w:val="Heading2"/>
      </w:pPr>
      <w:r>
        <w:t>Note on Sources</w:t>
      </w:r>
    </w:p>
    <w:p>
      <w:r>
        <w:t>Sources used in this document: [1] Sakaguchi RL, Ferracane JL, Powers JM. Craig's Restorative Dental Materials, 14th ed. — the real, quantified scale of the restoration-replacement problem (dollar cost, annual replacement rate). [2] van Noort R, Barbour M. Introduction to Dental Materials, 4th ed. — the real, quantified restorative-cycle data (replacement rate, cavity enlargement with each re-restoration). [3] Anusavice KJ, Shen C, Rawls HR, eds. Philips' Science of Dental Materials, 13th ed. — the annual-failure-rate comparison (cross-referenced from Sub-Module 6.1) reframed here around cost. [4] Craig RG, ed. Restorative Dental Materials, 11th ed. (Michigan) — amalgam's cost-effectiveness framing and its regulatory complication. [5] Bonsor SJ, Pearson GJ. A Clinical Guide to Applied Dental Materials — the distinct practice-economics cost dimension.</w:t>
      </w:r>
    </w:p>
    <w:p>
      <w:r>
        <w:t>Per the standing skill rule, all twelve standing Module 3 textbooks were grepped for cost-effectiveness/economic terms before finalizing sources; McCabe's, van Noort's own ceramics/polymer chapters, Powers &amp; Wataha's, Bhat's, Alani &amp; Patel's, Advanced Dental Metallic Materials, and the three endodontic-materials specialist sources returned no substantive, on-topic economic content for this specific comparison (restorative-material cost-effectiveness) beyond what the five sources above already provide — checked by reading, not by hit-count alone.</w:t>
      </w:r>
    </w:p>
    <w:p>
      <w:r>
        <w:rPr>
          <w:b/>
        </w:rPr>
        <w:t xml:space="preserve">Audit note: </w:t>
      </w:r>
      <w:r>
        <w:t>the user asked why Bhat's and Michigan Craig's did not appear in this document's references. Michigan Craig's WAS already cited [4]; its p.287 citation was a page-number error and has been corrected to the actual printed page, 288. Bhat's was re-checked by reading (not just grepping) its low-hit-count "cost" passages specifically for this document's topic and confirmed genuinely irrelevant here — its three cost-related hits concern curing-light-source economics, not restorative-material cost-effectiveness — so it is correctly not cited in this specific document (Sub-Module 6.1, the companion selection-criteria document, DOES now cite Bhat's for two substantive passages found on the same re-audit).</w:t>
      </w:r>
    </w:p>
    <w:p>
      <w:r>
        <w:t>Cross-reference note: this document builds directly on Sub-Module 6.1's evidence-based survival/failure-rate data (Chadwick et al. 2001; Manhart et al. 2004) — that data is not repeated in full here, only reframed around cost. Amalgam's Minamata Convention 2013 regulatory context is covered in full in Sub-Module 8.2 and only cross-referenced here.</w:t>
      </w:r>
    </w:p>
    <w:p/>
    <w:p>
      <w:pPr>
        <w:pStyle w:val="Heading1"/>
      </w:pPr>
      <w:r>
        <w:t>6.2.1 Initial vs. Long-Term Costs</w:t>
      </w:r>
    </w:p>
    <w:p>
      <w:pPr>
        <w:pStyle w:val="Heading2"/>
      </w:pPr>
      <w:r>
        <w:t>The Real Scale of the Replacement Problem (Craig's 14th ed.)</w:t>
      </w:r>
    </w:p>
    <w:p>
      <w:r>
        <w:t>The single most important fact underlying any cost-effectiveness discussion of restorative materials is this: the most common reason for the replacement of dental restorations is secondary caries at the gingival tooth-restoration margin, not bulk material failure. Craig's gives a real, striking quantification of how large this problem is — it is estimated that 50% to 80% of resin restorations are replaced annually in the United States alone, and the cost of replacing restorations is estimated to be in the billions of dollars worldwide, with the number and cost of replacements increasing annually [1, p.20]. This single statistic reframes "cost-effectiveness" away from a simple comparison of one material's chairside price against another's, and toward the much larger question of how often a given material actually needs to be replaced at all.</w:t>
      </w:r>
    </w:p>
    <w:p>
      <w:pPr>
        <w:pStyle w:val="Heading2"/>
      </w:pPr>
      <w:r>
        <w:t>The Restorative Cycle — Why a "Small" Restoration Rarely Stays Small (van Noort's)</w:t>
      </w:r>
    </w:p>
    <w:p>
      <w:r>
        <w:t>Van Noort's gives real, quantified data that explains WHY replacement rates are so high, and the mechanism is self-reinforcing. Hundreds of thousands of amalgam restorations are placed each year, and on average, half of these are themselves replacements of existing restorations — the restorative material economy is, in a real sense, already dominated by re-restoration rather than first-time restoration. Some clinical studies suggest that half of all amalgam restorations need replacement within only 4 to 5 years [2, p.69].</w:t>
      </w:r>
    </w:p>
    <w:p>
      <w:r>
        <w:t>A second, genuinely important mechanism compounds this: the survival time of an amalgam restoration is, on average, inversely proportional to its size — but every time an amalgam restoration is replaced, the cavity outline is increased by at least 0.5mm, producing a larger restoration than the one it replaced. The direct, real consequence is a self-reinforcing cycle: the smaller the restoration, the longer it survives, but each act of replacement itself creates a larger restoration with, all else equal, a shorter expected survival time than the one before it [2, p.69]. This is the real mechanistic explanation for why Craig's billions-of-dollars replacement-cost figure above keeps growing rather than stabilizing — it is not simply that more restorations are being placed, but that the average restoration being replaced is larger than the one it followed.</w:t>
      </w:r>
    </w:p>
    <w:p>
      <w:pPr>
        <w:pStyle w:val="Heading2"/>
      </w:pPr>
      <w:r>
        <w:t>Reframing "Cost" Around Annual Failure Rate Rather Than List Price (Philips', cross-referencing Sub-Module 6.1)</w:t>
      </w:r>
    </w:p>
    <w:p>
      <w:r>
        <w:t>Sub-Module 6.1 already established the real, quantified annual failure rates for posterior stress-bearing restorations: composite inlay and amalgam both at 1.9% per year, cast gold inlay/onlay at 1.4%, and direct composite at a meaningfully worse 3.6% (Manhart et al., 2004) [3, p.296]. Read as a cost-effectiveness argument rather than a purely clinical one, this data supports a real, specific conclusion: an indirect (inlay/onlay) composite restoration's higher upfront chairside and laboratory cost can be a genuinely cost-effective choice over a direct composite restoration in a large posterior cavity, because its annual failure rate is little different from amalgam's and meaningfully lower than direct composite's — provided its greater technique sensitivity is properly controlled for, since technique sensitivity itself is a real cost (chair time, remake risk) not captured by the failure-rate figure alone.</w:t>
      </w:r>
    </w:p>
    <w:p>
      <w:pPr>
        <w:pStyle w:val="Heading2"/>
      </w:pPr>
      <w:r>
        <w:t>Amalgam's Cost-Effectiveness, and the Regulatory Complication That Now Constrains It (Craig's / Michigan Craig's)</w:t>
      </w:r>
    </w:p>
    <w:p>
      <w:r>
        <w:t>Craig's 14th ed. states plainly that amalgam "has a long history as a cost-effective and successful restorative material" [1, p.171] (already introduced in Sub-Module 6.1 for its clinical framing; repeated here for its cost framing specifically). The earlier Michigan Craig's (2002) text makes the same cost-effectiveness claim even more directly — amalgam is "very cost effective" — but supports it with an explicit public-health argument: its use "must be strongly supported given its large public health benefit in the United States and many other countries" [4, p.288].</w:t>
      </w:r>
    </w:p>
    <w:p>
      <w:r>
        <w:t>This public-health cost-effectiveness case is genuinely complicated by a regulatory development the 2002 Michigan Craig's text predates entirely: the Minamata Convention on Mercury (2013), an international treaty restricting mercury use and trade, which directly constrains amalgam's continued use and disposal (covered in full, with its practical clinical implications, in Sub-Module 8.2). Flagged explicitly here because this is exactly the kind of point a source itself presents as settled that a newer regulatory reality has since unsettled — a pre-2013 cost-effectiveness argument for amalgam is not necessarily still the complete picture, since compliance costs, mercury-separator requirements, and phase-down obligations are real costs the older sources could not have accounted for.</w:t>
      </w:r>
    </w:p>
    <w:p>
      <w:pPr>
        <w:pStyle w:val="Heading1"/>
      </w:pPr>
      <w:r>
        <w:t>6.2.2 Patient Communication</w:t>
      </w:r>
    </w:p>
    <w:p>
      <w:pPr>
        <w:pStyle w:val="Heading2"/>
      </w:pPr>
      <w:r>
        <w:t>Turning Real Survival Data Into an Honest Patient Conversation, Not a Generic "Lasts Longer" Claim</w:t>
      </w:r>
    </w:p>
    <w:p>
      <w:r>
        <w:t>The material for an evidence-based patient conversation about restorative choice already exists in the quantified data above, rather than needing to be invented as generic talking points: the real gap between amalgam's general-practice survival (7-15 years) and its controlled-trial survival (55-70 years) is itself worth explaining to a patient, since it shows that the dentist's own technique and the patient's own maintenance genuinely affect how close a given restoration comes to its best-case longevity, rather than longevity being a fixed property of the material alone [3, p.358, cross-referencing Sub-Module 6.1]. Similarly, the real finding that indirect composite restorations statistically match amalgam's annual failure rate gives a genuine, honest answer to a patient asking whether a tooth-colored option will "really last as long" in a specific, large posterior cavity — the honest answer is conditional on the restoration being indirect rather than direct, not a flat yes or no.</w:t>
      </w:r>
    </w:p>
    <w:p>
      <w:r>
        <w:t>A real, necessary caveat for this conversation, and for how a student should treat any of these figures: the specific percentages above come from named, dated study cohorts (Chadwick et al.'s 2001 UK NHS systematic review; Manhart et al.'s 2004 review) — Philips' itself notes elsewhere that "the performance of posterior composites has greatly improved during the past decade relative to amalgams" even while placement time for composite remains significantly higher [3, p.297]. These survival figures should be communicated to patients and taught to students as the best available evidence from specific historical cohorts, not as timeless constants — contemporary nanohybrid and bulk-fill composite formulations, and modern high-copper amalgam alloys, were not necessarily the materials these older cohort studies tracked.</w:t>
      </w:r>
    </w:p>
    <w:p>
      <w:pPr>
        <w:pStyle w:val="Heading2"/>
      </w:pPr>
      <w:r>
        <w:t>Practice Economics Is a Distinct Cost Dimension From the Patient's Cost (Bonsor's)</w:t>
      </w:r>
    </w:p>
    <w:p>
      <w:r>
        <w:t>A distinction genuinely worth making explicit to students, since the two are easily conflated: everything above concerns cost-effectiveness from the PATIENT's or health system's perspective (replacement frequency, total lifetime cost, evidence-based longevity). Bonsor's covers a separate, real cost dimension the PRACTICE itself bears — stock held in a clinic's cupboards and drawers represents genuine tied-up capital, appearing on the practice's own balance sheet as a current asset, and inefficient stock management directly reduces a practice's cash flow and profitability regardless of how cost-effective any individual material is for the patient [5, PDF p.124]. "Material cost" as a practice-economics question (what does it cost this clinic to stock and use this product) and "cost-effectiveness of treatment" as a patient/health-system question (what does this treatment cost the patient over its lifetime) are genuinely different questions, and a dentist's real-world material selection is shaped by both simultaneously, not by the clinical evidence alone.</w:t>
      </w:r>
    </w:p>
    <w:p>
      <w:pPr>
        <w:pStyle w:val="Heading1"/>
      </w:pPr>
      <w:r>
        <w:t>References</w:t>
      </w:r>
    </w:p>
    <w:p>
      <w:r>
        <w:t>1. Sakaguchi RL, Ferracane JL, Powers JM. Craig's Restorative Dental Materials. 14th ed. St. Louis: Elsevier; 2019.</w:t>
      </w:r>
    </w:p>
    <w:p>
      <w:r>
        <w:t>2. van Noort R, Barbour M. Introduction to Dental Materials. 4th ed. Edinburgh: Mosby Elsevier; 2013.</w:t>
      </w:r>
    </w:p>
    <w:p>
      <w:r>
        <w:t>3. Anusavice KJ, Shen C, Rawls HR, eds. Philips' Science of Dental Materials. 13th ed. St. Louis: Elsevier; 2013.</w:t>
      </w:r>
    </w:p>
    <w:p>
      <w:r>
        <w:t>4. Craig RG, ed. Restorative Dental Materials. 11th ed. St. Louis: Mosby; 2002.</w:t>
      </w:r>
    </w:p>
    <w:p>
      <w:r>
        <w:t>5. Bonsor SJ, Pearson GJ. A Clinical Guide to Applied Dental Materials. Edinburgh: Churchill Livingstone Elsevier;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