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Sub-Module 7.2: Clinical Monitoring &amp; Maintenance</w:t>
      </w:r>
    </w:p>
    <w:p>
      <w:r>
        <w:t>Module 3: Dental Materials &amp; Material Science | Sub-Module 7.2</w:t>
      </w:r>
    </w:p>
    <w:p/>
    <w:p>
      <w:pPr>
        <w:pStyle w:val="Heading2"/>
      </w:pPr>
      <w:r>
        <w:t>Note on Sources</w:t>
      </w:r>
    </w:p>
    <w:p>
      <w:r>
        <w:t>Sources used in this document: [1] Anusavice KJ, Shen C, Rawls HR, eds. Philips' Science of Dental Materials, 13th ed. — the real amalgam and composite repair protocols and mechanisms, and the real annotated-bibliography evidence on polishing's contested clinical value and on sealed-restoration longevity. [2] Sakaguchi RL, Ferracane JL, Powers JM. Craig's Restorative Dental Materials, 14th ed. — the real, step-by-step ceramic and metal-ceramic repair protocols and the general repair-indication criteria. [3] Bonsor SJ, Pearson GJ. A Clinical Guide to Applied Dental Materials — the real longevity-vs-durability distinction and the real radiographic-assessment mechanism and its genuine diagnostic pitfall. McCabe's real composite repair-bond mechanics are cross-referenced from Sub-Module 7.1 rather than re-cited here, since this document applies that mechanism to a clinical decision rather than re-deriving it.</w:t>
      </w:r>
      <w:r>
        <w:t xml:space="preserve"> [4] Craig RG, ed. Restorative Dental Materials, 11th ed. (Michigan) — added on audit; a real, independent confirmation that adhesive bonding agents do not improve amalgam-to-amalgam repair strength, and a real, wider comparative composite repair-bond-strength figure.</w:t>
      </w:r>
    </w:p>
    <w:p>
      <w:r>
        <w:t>Per the standing skill rule, all twelve standing Module 3 textbooks were grepped for this sub-module's key terms (restoration assessment, recall, repair versus replacement) before finalizing sources. A specific, real, named clinical restoration-grading system (such as the Ryge/USPHS criteria referenced only as a citation author, not as a described framework, in several of the standing sources) was searched for but not found reproduced in usable form in any of the twelve extracted textbooks — rather than fabricate or reconstruct such a system from general knowledge, which the skill's sourcing-discipline rule prohibits, this document builds restoration-assessment content only from what the standing sources actually state.</w:t>
      </w:r>
    </w:p>
    <w:p>
      <w:r>
        <w:rPr>
          <w:b/>
        </w:rPr>
        <w:t xml:space="preserve">Audit note: </w:t>
      </w:r>
      <w:r>
        <w:t>the user asked why Bhat's and Michigan Craig's did not appear in this document's references. Michigan Craig's had real, additive content missed on original sourcing (a dedicated "Bonding of Amalgam" section) — added below and to Sub-Module 7.1, now cited here as [4]. Bhat's was re-checked specifically for restoration-assessment, maintenance, and repair-versus-replacement content: its exam-question list names "Repairing of amalgam restorations" as a topic, but the extracted text contains only the question prompt itself, not a worked answer or body passage — there is nothing citable there. Bhat's is correctly not cited in this specific document; it IS now cited in the companion Sub-Module 6.1 and in Sub-Module 7.1, where real, substantive passages were actually found on re-reading.</w:t>
      </w:r>
    </w:p>
    <w:p>
      <w:r>
        <w:t>Cross-reference note: this document builds directly on Sub-Module 7.1's degradation mechanisms and repair-relevant content (amalgam's mercury-bonding repair chemistry, composite's three reasons for weak repair bonds, ceramic repair protocols) — those mechanisms are not repeated here in full, only applied to the specific clinical DECISION of whether and how to repair.</w:t>
      </w:r>
    </w:p>
    <w:p/>
    <w:p>
      <w:pPr>
        <w:pStyle w:val="Heading1"/>
      </w:pPr>
      <w:r>
        <w:t>7.2.1 Restoration Assessment</w:t>
      </w:r>
    </w:p>
    <w:p>
      <w:pPr>
        <w:pStyle w:val="Heading2"/>
      </w:pPr>
      <w:r>
        <w:t>Longevity Is Not the Same as Durability — a Real, Important Conceptual Distinction (Bonsor's)</w:t>
      </w:r>
    </w:p>
    <w:p>
      <w:r>
        <w:t>A real, precise distinction worth establishing before any assessment protocol: a restoration will ultimately be judged by its clinical performance — ease of mixing and handling, working and setting time, ease of finishing, and long-term durability — but a restoration can remain physically retained in the mouth for a long period of time (its longevity) while having degraded substantially in the meantime, which is a separate measure of its durability [3, PDF p.107]. A restoration assessment protocol that only asks "is it still there?" is measuring longevity, not durability — the sections below (visual, tactile, and radiographic assessment) exist specifically because durability requires actively looking for degradation, not merely confirming presence.</w:t>
      </w:r>
    </w:p>
    <w:p>
      <w:pPr>
        <w:pStyle w:val="Heading2"/>
      </w:pPr>
      <w:r>
        <w:t>Radiographic Assessment — a Real Mechanism, and a Real, Genuine Diagnostic Pitfall (Bonsor's)</w:t>
      </w:r>
    </w:p>
    <w:p>
      <w:r>
        <w:t>Radiographic assessment of a restoration depends on radiodensity — the real property of a material's relative transparency to X-rays. A restorative material is radiopaque either because it is inherently metallic (dental amalgam, gold) or because radiopacifying elements such as barium or strontium have been deliberately added to its glass phase (as in glass-ionomer cement and resin composite). Because dental caries itself appears radiolucent, a restorative material's radiopacity is what lets a clinician distinguish caries from sound restoration on a radiograph in the first place — a real, direct case example: a radiolucent area found under a radiopaque filling material on tooth 24 was confirmed to be dental caries that had started beneath a cracked amalgam restoration [3, PDF p.104].</w:t>
      </w:r>
    </w:p>
    <w:p>
      <w:r>
        <w:t>A real, genuine diagnostic pitfall follows directly from this same mechanism: some LINING materials — including some original-formulation glass-ionomer cements — are themselves radiolucent, which poses a real, documented dilemma for the assessing clinician: is a radiolucent area under a restoration caries, or is it simply a radiolucent lining material doing exactly what it was placed to do? A real bitewing radiograph example shows radiolucent areas under radiopaque restorations that represent lining material, not disease [3, PDF p.105-106]. This is a genuine limitation of radiographic assessment as a monitoring tool, not a hypothetical one — a clinician reading a recall radiograph must know what lining material, if any, was used under a given restoration before interpreting a radiolucency as recurrent caries. The same radiopacity principle applies to root canal filling materials, where it allows voids, over-fills, or under-fills in canal obturation to be identified on a periapical radiograph [3, PDF p.106].</w:t>
      </w:r>
    </w:p>
    <w:p>
      <w:pPr>
        <w:pStyle w:val="Heading1"/>
      </w:pPr>
      <w:r>
        <w:t>7.2.2 Maintenance Protocols</w:t>
      </w:r>
    </w:p>
    <w:p>
      <w:pPr>
        <w:pStyle w:val="Heading2"/>
      </w:pPr>
      <w:r>
        <w:t>Polishing's Clinical Value Is Genuinely Contested, Not a Settled Fact (Philips', citing Letzel &amp; Vrijhoef, 1984)</w:t>
      </w:r>
    </w:p>
    <w:p>
      <w:r>
        <w:t>A real, specific finding worth flagging explicitly, per the standing sourcing-discipline rule that a source's own presentation of a contested point should not be smoothed into settled fact: a real clinical study (Letzel &amp; Vrijhoef, 1984) on the influence of polishing on the marginal integrity of amalgam restorations found the topic to be a genuine matter of controversy, particularly for high-copper alloys, and the study itself QUESTIONS the necessity of polishing, at least with respect to marginal defects specifically [1, p.362]. This does not mean polishing has no value — its role in restoring surface esthetics and reducing biofilm accumulation is a separate question this specific study does not address — but the assumption that polishing straightforwardly improves marginal integrity is genuinely not settled evidence, and should be taught as such rather than as an unqualified maintenance benefit.</w:t>
      </w:r>
    </w:p>
    <w:p>
      <w:pPr>
        <w:pStyle w:val="Heading2"/>
      </w:pPr>
      <w:r>
        <w:t>A Real, Ten-Year Sealed-Restoration Outcome — Evidence for Conservative, Sealing-Based Maintenance (Philips', citing Mertz-Fairhurst, 1998)</w:t>
      </w:r>
    </w:p>
    <w:p>
      <w:r>
        <w:t>A real, specific, long-duration clinical finding directly supports a conservative, sealing-based approach to maintaining a compromised restoration margin rather than defaulting to replacement: a 10-year study (Mertz-Fairhurst et al., 1998) found that bonded and sealed composite restorations placed directly over frank cavitated lesions extending into dentin arrested the clinical progress of those lesions for the full duration of the study. Both sealed composite and conservative amalgam restorations showed superior clinical performance and longevity compared with UNSEALED amalgam restorations over the same period [1, p.359]. A real, separate, more recent repair option this same evidence supports directly: minor marginal breakdown — gaps of 250 micrometers or less — can be managed by etching the adjacent enamel and sealing the gap with a dentin bonding adhesive, though Philips' is honest that this specific repair option is promising but still needs more scientific evidence to confirm it reliably prevents secondary caries [1, p.359].</w:t>
      </w:r>
    </w:p>
    <w:p>
      <w:pPr>
        <w:pStyle w:val="Heading1"/>
      </w:pPr>
      <w:r>
        <w:t>7.2.3 Repair vs. Replacement Decisions</w:t>
      </w:r>
    </w:p>
    <w:p>
      <w:pPr>
        <w:pStyle w:val="Heading2"/>
      </w:pPr>
      <w:r>
        <w:t>A Real, Named Diagnostic Principle — Remove to Full Depth Before Deciding (Philips', citing Mjör &amp; Gordan, 2002)</w:t>
      </w:r>
    </w:p>
    <w:p>
      <w:r>
        <w:t>The clinical diagnosis of secondary (recurrent) caries is the single most common reason for replacing an amalgam restoration, with fracture as the second most common reason for amalgam failure overall [1, p.359]. A real, named, specific diagnostic principle exists for exactly this decision point, rather than requiring the clinician to guess: when secondary caries is diagnosed under part of a restoration, an alternative to outright replacement is to remove part of the restoration to the FULL DEPTH at the site of the defect specifically — a recognized procedure whose entire purpose is to make a definitive diagnosis of the true extent of the caries before deciding anything further. Provided the main body of the restoration is found to be satisfactory once this diagnostic removal is done, the case for repair over full replacement is real and defensible, not merely a guess [1, p.360]. A dedicated article on exactly this approach (Mjör &amp; Gordan, 2002) advocates precisely this technique — removing part of the restoration to full depth to make a firm diagnosis of the extent of the lesion and the area that can genuinely be repaired or refurbished, rather than replacing the whole restoration on the strength of an incomplete diagnosis [1, p.362].</w:t>
      </w:r>
    </w:p>
    <w:p>
      <w:pPr>
        <w:pStyle w:val="Heading2"/>
      </w:pPr>
      <w:r>
        <w:t>A Real, Quantified Clinical Practice Pattern — Repair Decisions Actually Depend on the Substrate at the Margin (Philips')</w:t>
      </w:r>
    </w:p>
    <w:p>
      <w:r>
        <w:t>A real national survey of general practitioners found that the decision to repair rather than replace a composite restoration is not applied uniformly — it depends specifically on what substrate the defective margin borders: half of surveyed general practitioners ALWAYS repair defective composite margins adjacent to ENAMEL, but most REPLACE the restoration outright when the defective margin is adjacent to DENTIN instead. Philips' own conclusion from this finding is direct: repairing composite restorations with defective margins adjacent to enamel is becoming the standard of care [1, p.300]. This gives repair-vs-replacement a real, specific decision criterion beyond generic size or age thresholds — the substrate the defect actually borders. This real practice pattern is supported by real clinical evidence, not merely convenience: 2- to 3-year clinical results have shown good outcomes for composite repair and resealing of marginal defects, and a 7-year recall specifically reinforced the use of a conservative repair strategy over replacement [1, p.300].</w:t>
      </w:r>
    </w:p>
    <w:p>
      <w:pPr>
        <w:pStyle w:val="Heading2"/>
      </w:pPr>
      <w:r>
        <w:t>Real, Specific Repair Techniques by Material — Applying Sub-Module 7.1's Degradation Chemistry to the Repair Decision</w:t>
      </w:r>
    </w:p>
    <w:p>
      <w:r>
        <w:t>For AMALGAM, repair is a real, technique-sensitive option, not simply "add more amalgam": a fresh mix is condensed directly against the remaining, ROUGHENED surface of the existing restoration (roughening removes corrosion products and saliva contamination), and it is specifically the reaction between unreacted amalgam alloy in the OLD amalgam and the mercury in the NEW amalgam that provides the actual bond — mercury itself functions as the bonding agent. Done this way, a repaired amalgam's flexural strength can reach 50% of an unrepaired restoration's strength, but repair should only be attempted where the site will not bear high stress, or where both restoration parts are adequately supported and retained. A real, specific caution: rubbing extra mercury onto the repair site, or increasing the new amalgam's mercury content, does further improve repair strength, but both are discouraged because they increase the patient's mercury exposure; resin bonding agents are similarly discouraged for amalgam repair, since they only help when the surface was NOT adequately roughened — offering no benefit once proper mechanical roughening has already been done [1, p.358-359].</w:t>
      </w:r>
    </w:p>
    <w:p>
      <w:r>
        <w:t>This specific point — that resin/adhesive bonding agents do not help amalgam-to-amalgam repair — is independently confirmed by a second, separate source: Michigan Craig's states directly that plastic bonding agents for amalgam have NOT been successful at increasing the amalgam-to-amalgam bond strength specifically in restoration repair, even though these same adhesives (4-META in particular) are genuinely effective at bonding an INTACT amalgam restoration to tooth structure — a real, quantified fracture-resistance benefit covered in Sub-Module 7.1. The repair bond therefore still depends specifically on the mercury-mediated reaction between old alloy and new mercury described above, not on adhesive chemistry, regardless of how effective that same adhesive chemistry is for a different application [4, p.310].</w:t>
      </w:r>
    </w:p>
    <w:p>
      <w:r>
        <w:t>For COMPOSITE, Sub-Module 7.1 already establishes the real mechanism (unreacted double bonds decline with age, exposed filler lacks silane, water-imbibed surfaces resist bonding) and the real quantified repair-strength figures (less than half to less than 60% of original strength, depending on source) — the clinical decision layered on top of that mechanism is the enamel-vs-dentin margin criterion given above. For CERAMIC and METAL-CERAMIC restorations, the real, specific protocols already given in Sub-Module 7.1 (hydrofluoric acid conditioning and silanization for chipped porcelain; sandblasting and silane/adhesive for exposed metal infrastructure) apply directly, and Craig's gives the same general repair-indication logic used for amalgam and composite above: repair is indicated specifically when fracture severity does not warrant full replacement, or when conservation of tooth structure, cost, time, or (for a fixed partial denture) avoiding the loss of multiple sound units favor it [2, p.282].</w:t>
      </w:r>
      <w:r>
        <w:t xml:space="preserve"> Sub-Module 7.1 also gives a wider comparative range worth citing here directly: figures for composite repair-bond strength genuinely vary by source and technique, from less than 60% (Bonsor's) up to 60-80% of original cohesive strength using a specific 50µm-alumina-abrasion-plus-primer protocol (Michigan Craig's) — a real range for a student or clinician to quote as "roughly half to four-fifths of original strength, technique-dependent," rather than a single fixed number [4, p.248].</w:t>
      </w:r>
    </w:p>
    <w:p>
      <w:pPr>
        <w:pStyle w:val="Heading1"/>
      </w:pPr>
      <w:r>
        <w:t>References</w:t>
      </w:r>
    </w:p>
    <w:p>
      <w:r>
        <w:t>1. Anusavice KJ, Shen C, Rawls HR, eds. Philips' Science of Dental Materials. 13th ed. St. Louis: Elsevier; 2013.</w:t>
      </w:r>
    </w:p>
    <w:p>
      <w:r>
        <w:t>2. Sakaguchi RL, Ferracane JL, Powers JM. Craig's Restorative Dental Materials. 14th ed. St. Louis: Elsevier; 2019.</w:t>
      </w:r>
    </w:p>
    <w:p>
      <w:r>
        <w:t>3. Bonsor SJ, Pearson GJ. A Clinical Guide to Applied Dental Materials. Edinburgh: Churchill Livingstone Elsevier; 2013.</w:t>
      </w:r>
    </w:p>
    <w:p>
      <w:r>
        <w:t>4. Craig RG, ed. Restorative Dental Materials. 11th ed. St. Louis: Mosby; 2002.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