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Noto Sans CJK SC"/>
          <w:b/>
          <w:sz w:val="40"/>
        </w:rPr>
        <w:t>EnerTri V4.0 运行成果示例</w:t>
      </w:r>
    </w:p>
    <w:p>
      <w:pPr>
        <w:jc w:val="center"/>
      </w:pPr>
      <w:r>
        <w:rPr>
          <w:rFonts w:ascii="Arial" w:hAnsi="Arial" w:eastAsia="Noto Sans CJK SC"/>
          <w:i/>
          <w:sz w:val="19"/>
        </w:rPr>
        <w:t>版本: 4.0.0 · 类型: 运行预览</w:t>
      </w:r>
    </w:p>
    <w:p/>
    <w:p>
      <w:pPr>
        <w:pStyle w:val="Heading1"/>
      </w:pPr>
      <w:r>
        <w:t>执行摘要</w:t>
      </w:r>
    </w:p>
    <w:p>
      <w:r>
        <w:t>EnerTri V4.0 已完成科研、焊接生产、图像多模态、实时数据和 CAE 集成框架。</w:t>
      </w:r>
    </w:p>
    <w:p/>
    <w:p>
      <w:pPr>
        <w:pStyle w:val="Heading2"/>
      </w:pPr>
      <w:r>
        <w:t>示例材料与目标</w:t>
      </w:r>
    </w:p>
    <w:p>
      <w:pPr>
        <w:pStyle w:val="ListBullet"/>
      </w:pPr>
      <w:r>
        <w:t>材料：Q355，厚度 20 mm</w:t>
      </w:r>
    </w:p>
    <w:p>
      <w:pPr>
        <w:pStyle w:val="ListBullet"/>
      </w:pPr>
      <w:r>
        <w:t>接头：对接接头</w:t>
      </w:r>
    </w:p>
    <w:p>
      <w:pPr>
        <w:pStyle w:val="ListBullet"/>
      </w:pPr>
      <w:r>
        <w:t>目标：评估焊接性并建立初步 GMAW 工艺窗口</w:t>
      </w:r>
    </w:p>
    <w:p/>
    <w:p>
      <w:pPr>
        <w:pStyle w:val="Heading2"/>
      </w:pPr>
      <w:r>
        <w:t>规则型分析结果</w:t>
      </w:r>
    </w:p>
    <w:p>
      <w:pPr>
        <w:pStyle w:val="ListBullet"/>
      </w:pPr>
      <w:r>
        <w:t>平台计算 IIW 碳当量和 Pcm，并根据厚度、氢水平和拘束给出风险提示。</w:t>
      </w:r>
    </w:p>
    <w:p>
      <w:pPr>
        <w:pStyle w:val="ListBullet"/>
      </w:pPr>
      <w:r>
        <w:t>工艺参数仅作为前期筛选范围，不是已批准 WPS。</w:t>
      </w:r>
    </w:p>
    <w:p>
      <w:pPr>
        <w:pStyle w:val="ListBullet"/>
      </w:pPr>
      <w:r>
        <w:t>焊材、预热、后热和接头性能必须结合材料证书、适用标准与 PQR 验证。</w:t>
      </w:r>
    </w:p>
    <w:p/>
    <w:p>
      <w:pPr>
        <w:pStyle w:val="Heading2"/>
      </w:pPr>
      <w:r>
        <w:t>实时时序数据示例</w:t>
      </w:r>
    </w:p>
    <w:p>
      <w:pPr>
        <w:pStyle w:val="ListBullet"/>
      </w:pPr>
      <w:r>
        <w:t>采样率估计：10 Hz</w:t>
      </w:r>
    </w:p>
    <w:p>
      <w:pPr>
        <w:pStyle w:val="ListBullet"/>
      </w:pPr>
      <w:r>
        <w:t>热输入估计：约 0.84 kJ/mm</w:t>
      </w:r>
    </w:p>
    <w:p>
      <w:pPr>
        <w:pStyle w:val="ListBullet"/>
      </w:pPr>
      <w:r>
        <w:t>电流、电压和焊接速度波动处于示例规则的稳定区间</w:t>
      </w:r>
    </w:p>
    <w:p>
      <w:pPr>
        <w:pStyle w:val="ListBullet"/>
      </w:pPr>
      <w:r>
        <w:t>统计稳定不等同于焊缝无缺陷，仍需结合视觉、声学、温度、焊缝几何与 NDT</w:t>
      </w:r>
    </w:p>
    <w:p/>
    <w:p>
      <w:pPr>
        <w:pStyle w:val="Heading2"/>
      </w:pPr>
      <w:r>
        <w:t>结论</w:t>
      </w:r>
    </w:p>
    <w:p>
      <w:r>
        <w:t>V4.0 已能形成从数据接入、特征提取、规则评估、AI 辅助解释、报告导出到仿真输入包的闭环原型。</w:t>
      </w:r>
    </w:p>
    <w:p/>
    <w:p>
      <w:r>
        <w:rPr>
          <w:rFonts w:ascii="Arial" w:hAnsi="Arial" w:eastAsia="Noto Sans CJK SC"/>
          <w:i/>
          <w:sz w:val="18"/>
        </w:rPr>
        <w:t>说明：本文件由 EnerTri 智能工作台生成，正式提交或生产使用前应由领域专家核验。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