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5404EB">
      <w:pPr>
        <w:rPr>
          <w:rFonts w:hint="eastAsia"/>
          <w:b/>
          <w:bCs/>
          <w:sz w:val="24"/>
          <w:szCs w:val="24"/>
        </w:rPr>
      </w:pPr>
      <w:r>
        <w:rPr>
          <w:rFonts w:hint="eastAsia"/>
          <w:b/>
          <w:bCs/>
          <w:sz w:val="24"/>
          <w:szCs w:val="24"/>
        </w:rPr>
        <w:t>10.1.5 太空算力中心</w:t>
      </w:r>
    </w:p>
    <w:p w14:paraId="023F169A">
      <w:pPr>
        <w:rPr>
          <w:rFonts w:hint="eastAsia"/>
          <w:b/>
          <w:bCs/>
          <w:sz w:val="24"/>
          <w:szCs w:val="24"/>
        </w:rPr>
      </w:pPr>
    </w:p>
    <w:p w14:paraId="0F4A9B0E">
      <w:pPr>
        <w:rPr>
          <w:rFonts w:hint="default" w:eastAsiaTheme="minorEastAsia"/>
          <w:lang w:val="en-US" w:eastAsia="zh-CN"/>
        </w:rPr>
      </w:pPr>
      <w:r>
        <w:rPr>
          <w:rFonts w:hint="eastAsia"/>
          <w:b/>
          <w:bCs/>
          <w:sz w:val="24"/>
          <w:szCs w:val="24"/>
        </w:rPr>
        <w:t>10.1.5.1 概念</w:t>
      </w:r>
      <w:r>
        <w:rPr>
          <w:rFonts w:hint="eastAsia"/>
          <w:b/>
          <w:bCs/>
          <w:sz w:val="24"/>
          <w:szCs w:val="24"/>
          <w:lang w:eastAsia="zh-CN"/>
        </w:rPr>
        <w:t>、</w:t>
      </w:r>
      <w:r>
        <w:rPr>
          <w:rFonts w:hint="eastAsia"/>
          <w:b/>
          <w:bCs/>
          <w:sz w:val="24"/>
          <w:szCs w:val="24"/>
          <w:lang w:val="en-US" w:eastAsia="zh-CN"/>
        </w:rPr>
        <w:t>差异点</w:t>
      </w:r>
      <w:r>
        <w:rPr>
          <w:rFonts w:hint="eastAsia"/>
          <w:b/>
          <w:bCs/>
          <w:sz w:val="24"/>
          <w:szCs w:val="24"/>
        </w:rPr>
        <w:t>与发展背景</w:t>
      </w:r>
    </w:p>
    <w:p w14:paraId="6BDEB973">
      <w:pPr>
        <w:ind w:firstLine="420" w:firstLineChars="0"/>
        <w:rPr>
          <w:rFonts w:hint="eastAsia"/>
        </w:rPr>
      </w:pPr>
    </w:p>
    <w:p w14:paraId="2EBC5137">
      <w:pPr>
        <w:ind w:firstLine="420" w:firstLineChars="0"/>
        <w:rPr>
          <w:rFonts w:hint="eastAsia"/>
        </w:rPr>
      </w:pPr>
      <w:r>
        <w:rPr>
          <w:rFonts w:hint="eastAsia"/>
        </w:rPr>
        <w:t>太空算力中心是未来空间基础设施中的关键数字节点，其功能并不局限于提供计算能力，而是深度嵌入空间能源系统、通信系统和任务自治系统之中。它可以为遥感数据处理、空间通信缓存、科学实验分析、月球基地运行、火星任务支持和空间装备健康监测提供本地化计算能力。与地面数据中心相比，太空算力中心不能简单理解为“把服务器搬到轨道上”，其设计边界由能源、热控、通信和可靠性共同决定。</w:t>
      </w:r>
    </w:p>
    <w:p w14:paraId="76F484BD">
      <w:pPr>
        <w:ind w:firstLine="420" w:firstLineChars="0"/>
        <w:rPr>
          <w:rFonts w:hint="eastAsia"/>
        </w:rPr>
      </w:pPr>
    </w:p>
    <w:p w14:paraId="5EA45118">
      <w:pPr>
        <w:ind w:firstLine="420" w:firstLineChars="0"/>
        <w:rPr>
          <w:rFonts w:hint="eastAsia" w:ascii="宋体" w:hAnsi="宋体" w:eastAsia="宋体" w:cs="宋体"/>
          <w:sz w:val="21"/>
          <w:szCs w:val="21"/>
          <w:lang w:val="en-US" w:eastAsia="zh-CN"/>
        </w:rPr>
      </w:pPr>
      <w:r>
        <w:rPr>
          <w:rFonts w:ascii="宋体" w:hAnsi="宋体" w:eastAsia="宋体" w:cs="宋体"/>
          <w:sz w:val="21"/>
          <w:szCs w:val="21"/>
        </w:rPr>
        <w:t>从地面数据中心的发展经验看，能源供给和冷却条件往往直接影响数据中心的建设位置和运行成本。地面数据中心在运行过程中，大量电能最终转化为热量，因此必须持续排热。为了降低冷却能耗，地面数据中心通常会优先考虑靠近低温空气、水体、稳定电网或低价能源的位置，并同时兼顾土地成本、网络接入、用户距离和运维便利性。地面数据中心的地理位置由能源价格、冷源条件、通信网络和运维条件共同牵引。</w:t>
      </w:r>
      <w:r>
        <w:rPr>
          <w:rFonts w:hint="eastAsia" w:ascii="宋体" w:hAnsi="宋体" w:eastAsia="宋体" w:cs="宋体"/>
          <w:sz w:val="21"/>
          <w:szCs w:val="21"/>
          <w:lang w:val="en-US" w:eastAsia="zh-CN"/>
        </w:rPr>
        <w:t>其核心目标是以较低成本持续提供大规模算力。</w:t>
      </w:r>
    </w:p>
    <w:p w14:paraId="3FAB3513">
      <w:pPr>
        <w:ind w:firstLine="420" w:firstLineChars="0"/>
        <w:rPr>
          <w:rFonts w:hint="eastAsia" w:ascii="宋体" w:hAnsi="宋体" w:eastAsia="宋体" w:cs="宋体"/>
          <w:sz w:val="21"/>
          <w:szCs w:val="21"/>
          <w:lang w:val="en-US" w:eastAsia="zh-CN"/>
        </w:rPr>
      </w:pPr>
    </w:p>
    <w:p w14:paraId="01861BB8">
      <w:pPr>
        <w:ind w:firstLine="420" w:firstLineChars="0"/>
        <w:rPr>
          <w:rFonts w:hint="eastAsia"/>
        </w:rPr>
      </w:pPr>
      <w:r>
        <w:rPr>
          <w:rFonts w:hint="eastAsia" w:ascii="宋体" w:hAnsi="宋体" w:eastAsia="宋体" w:cs="宋体"/>
          <w:sz w:val="21"/>
          <w:szCs w:val="21"/>
        </w:rPr>
        <w:t>太空算力中心</w:t>
      </w:r>
      <w:r>
        <w:rPr>
          <w:rFonts w:hint="eastAsia" w:ascii="宋体" w:hAnsi="宋体" w:eastAsia="宋体" w:cs="宋体"/>
          <w:sz w:val="21"/>
          <w:szCs w:val="21"/>
          <w:lang w:val="en-US" w:eastAsia="zh-CN"/>
        </w:rPr>
        <w:t>的</w:t>
      </w:r>
      <w:r>
        <w:rPr>
          <w:rFonts w:hint="eastAsia" w:ascii="宋体" w:hAnsi="宋体" w:eastAsia="宋体" w:cs="宋体"/>
          <w:sz w:val="21"/>
          <w:szCs w:val="21"/>
        </w:rPr>
        <w:t>冷源逻辑与地面数据中心有本质差异。太空环境虽然常被描述为寒冷，但由于近似真空，缺少空气对流，计算设备产生的废热并不能像地面机房那样通过空气流动带走。太空算力中心真正可利用的冷源，是面向深空的低温辐射背景。计算设备产生的热量必须先通过导热结构、热管或液冷回路传递到散热器，再由散热器以热辐射方式排向深空。因此，太空算力中心的部署位置不仅要看哪里有充足能源，还要看散热器能否获得良好的深空视场，是否会受到太阳直射、地球红外辐射、月面反照或平台姿态约束的影响</w:t>
      </w:r>
      <w:r>
        <w:rPr>
          <w:rFonts w:hint="eastAsia" w:ascii="宋体" w:hAnsi="宋体" w:eastAsia="宋体" w:cs="宋体"/>
          <w:sz w:val="21"/>
          <w:szCs w:val="21"/>
          <w:lang w:eastAsia="zh-CN"/>
        </w:rPr>
        <w:t>，硬件一旦发生故障，也难以像地面机房那样快速维修或更换</w:t>
      </w:r>
      <w:r>
        <w:rPr>
          <w:rFonts w:hint="eastAsia" w:ascii="宋体" w:hAnsi="宋体" w:eastAsia="宋体" w:cs="宋体"/>
          <w:sz w:val="21"/>
          <w:szCs w:val="21"/>
        </w:rPr>
        <w:t>。因此，太空算力中心首先是一个能源受限、散热受限、通信受限和运维受限的空间系统</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其</w:t>
      </w:r>
      <w:r>
        <w:rPr>
          <w:rFonts w:hint="eastAsia" w:ascii="宋体" w:hAnsi="宋体" w:eastAsia="宋体" w:cs="宋体"/>
          <w:sz w:val="21"/>
          <w:szCs w:val="21"/>
          <w:lang w:eastAsia="zh-CN"/>
        </w:rPr>
        <w:t>核心目标不是单纯追求最高算力，而是在有限功率、有限散热能力和有限通信条件下，提供可靠、可调度、可降级运行的计算能力。</w:t>
      </w:r>
      <w:r>
        <w:rPr>
          <w:rFonts w:hint="eastAsia" w:ascii="宋体" w:hAnsi="宋体" w:eastAsia="宋体" w:cs="宋体"/>
          <w:sz w:val="21"/>
          <w:szCs w:val="21"/>
        </w:rPr>
        <w:t>。</w:t>
      </w:r>
    </w:p>
    <w:p w14:paraId="618F20CC">
      <w:pPr>
        <w:jc w:val="center"/>
      </w:pPr>
      <w:r>
        <w:drawing>
          <wp:inline distT="0" distB="0" distL="114300" distR="114300">
            <wp:extent cx="2442845" cy="1628775"/>
            <wp:effectExtent l="0" t="0" r="14605" b="952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4"/>
                    <a:stretch>
                      <a:fillRect/>
                    </a:stretch>
                  </pic:blipFill>
                  <pic:spPr>
                    <a:xfrm>
                      <a:off x="0" y="0"/>
                      <a:ext cx="2442845" cy="1628775"/>
                    </a:xfrm>
                    <a:prstGeom prst="rect">
                      <a:avLst/>
                    </a:prstGeom>
                  </pic:spPr>
                </pic:pic>
              </a:graphicData>
            </a:graphic>
          </wp:inline>
        </w:drawing>
      </w:r>
      <w:r>
        <w:drawing>
          <wp:inline distT="0" distB="0" distL="114300" distR="114300">
            <wp:extent cx="2469515" cy="1672590"/>
            <wp:effectExtent l="0" t="0" r="698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5"/>
                    <a:stretch>
                      <a:fillRect/>
                    </a:stretch>
                  </pic:blipFill>
                  <pic:spPr>
                    <a:xfrm>
                      <a:off x="0" y="0"/>
                      <a:ext cx="2469515" cy="1672590"/>
                    </a:xfrm>
                    <a:prstGeom prst="rect">
                      <a:avLst/>
                    </a:prstGeom>
                  </pic:spPr>
                </pic:pic>
              </a:graphicData>
            </a:graphic>
          </wp:inline>
        </w:drawing>
      </w:r>
    </w:p>
    <w:p w14:paraId="3A7B54E6">
      <w:pPr>
        <w:jc w:val="center"/>
      </w:pPr>
      <w:r>
        <w:rPr>
          <w:rFonts w:ascii="宋体" w:hAnsi="宋体" w:eastAsia="宋体"/>
          <w:i w:val="0"/>
          <w:sz w:val="18"/>
        </w:rPr>
        <w:t>图10.1.5-</w:t>
      </w:r>
      <w:r>
        <w:rPr>
          <w:rFonts w:hint="eastAsia" w:ascii="宋体" w:hAnsi="宋体" w:eastAsia="宋体"/>
          <w:i w:val="0"/>
          <w:sz w:val="18"/>
          <w:lang w:val="en-US" w:eastAsia="zh-CN"/>
        </w:rPr>
        <w:t>1</w:t>
      </w:r>
      <w:r>
        <w:rPr>
          <w:rFonts w:ascii="宋体" w:hAnsi="宋体" w:eastAsia="宋体"/>
          <w:i w:val="0"/>
          <w:sz w:val="18"/>
        </w:rPr>
        <w:t xml:space="preserve"> </w:t>
      </w:r>
      <w:r>
        <w:rPr>
          <w:rFonts w:hint="eastAsia" w:ascii="宋体" w:hAnsi="宋体" w:eastAsia="宋体"/>
          <w:i w:val="0"/>
          <w:sz w:val="18"/>
          <w:lang w:val="en-US" w:eastAsia="zh-CN"/>
        </w:rPr>
        <w:t>左为地面数据中心机房，右为</w:t>
      </w:r>
      <w:r>
        <w:rPr>
          <w:rFonts w:ascii="宋体" w:hAnsi="宋体" w:eastAsia="宋体"/>
          <w:i w:val="0"/>
          <w:sz w:val="18"/>
        </w:rPr>
        <w:t>Spaceborne Computer 在轨计算验证</w:t>
      </w:r>
      <w:r>
        <w:rPr>
          <w:rFonts w:hint="eastAsia" w:ascii="宋体" w:hAnsi="宋体" w:eastAsia="宋体"/>
          <w:i w:val="0"/>
          <w:sz w:val="18"/>
          <w:lang w:val="en-US" w:eastAsia="zh-CN"/>
        </w:rPr>
        <w:t>设备</w:t>
      </w:r>
      <w:r>
        <w:rPr>
          <w:rFonts w:ascii="宋体" w:hAnsi="宋体" w:eastAsia="宋体"/>
          <w:i w:val="0"/>
          <w:sz w:val="18"/>
        </w:rPr>
        <w:t>。</w:t>
      </w:r>
    </w:p>
    <w:p w14:paraId="15A8E94C">
      <w:pPr>
        <w:rPr>
          <w:rFonts w:hint="eastAsia"/>
        </w:rPr>
      </w:pPr>
    </w:p>
    <w:p w14:paraId="5EF120D3">
      <w:pPr>
        <w:ind w:firstLine="420" w:firstLineChars="0"/>
        <w:rPr>
          <w:rFonts w:hint="eastAsia"/>
        </w:rPr>
      </w:pPr>
      <w:r>
        <w:rPr>
          <w:rFonts w:hint="eastAsia"/>
        </w:rPr>
        <w:t>短期内，</w:t>
      </w:r>
      <w:r>
        <w:rPr>
          <w:rFonts w:hint="eastAsia"/>
          <w:lang w:val="en-US" w:eastAsia="zh-CN"/>
        </w:rPr>
        <w:t>太空算力中心</w:t>
      </w:r>
      <w:r>
        <w:rPr>
          <w:rFonts w:hint="eastAsia"/>
        </w:rPr>
        <w:t>更可能以空间站在轨计算模块、卫星边缘处理节点、月球基地边缘云和深空任务自治计算平台的形式出现；长期看，随着大功率太阳能阵列、在轨组装、高效热控和星间通信网络的发展，才可能逐步演化为更大规模的空间云计算基础设施。</w:t>
      </w:r>
    </w:p>
    <w:p w14:paraId="547E9BC0">
      <w:pPr>
        <w:rPr>
          <w:rFonts w:hint="eastAsia"/>
        </w:rPr>
      </w:pPr>
    </w:p>
    <w:p w14:paraId="5B5FBC2B">
      <w:pPr>
        <w:rPr>
          <w:rFonts w:hint="eastAsia"/>
        </w:rPr>
      </w:pPr>
      <w:r>
        <w:rPr>
          <w:rFonts w:hint="eastAsia"/>
          <w:b/>
          <w:bCs/>
          <w:sz w:val="24"/>
          <w:szCs w:val="24"/>
        </w:rPr>
        <w:t>10.1.5.2 能源—热控—计算—通信耦合架构</w:t>
      </w:r>
    </w:p>
    <w:p w14:paraId="722A693C">
      <w:pPr>
        <w:ind w:firstLine="420" w:firstLineChars="0"/>
        <w:rPr>
          <w:rFonts w:hint="eastAsia"/>
        </w:rPr>
      </w:pPr>
    </w:p>
    <w:p w14:paraId="5199A577">
      <w:pPr>
        <w:ind w:firstLine="420" w:firstLineChars="0"/>
        <w:rPr>
          <w:rFonts w:hint="eastAsia"/>
        </w:rPr>
      </w:pPr>
      <w:r>
        <w:rPr>
          <w:rFonts w:hint="eastAsia"/>
        </w:rPr>
        <w:t>太空算力中心的系统架构围绕能源、热控、计算和通信四个环节协同设计。</w:t>
      </w:r>
    </w:p>
    <w:tbl>
      <w:tblPr>
        <w:tblStyle w:val="2"/>
        <w:tblW w:w="0" w:type="auto"/>
        <w:jc w:val="center"/>
        <w:tblLayout w:type="autofit"/>
        <w:tblCellMar>
          <w:top w:w="0" w:type="dxa"/>
          <w:left w:w="108" w:type="dxa"/>
          <w:bottom w:w="0" w:type="dxa"/>
          <w:right w:w="108" w:type="dxa"/>
        </w:tblCellMar>
      </w:tblPr>
      <w:tblGrid>
        <w:gridCol w:w="1256"/>
        <w:gridCol w:w="2167"/>
        <w:gridCol w:w="2422"/>
        <w:gridCol w:w="2677"/>
      </w:tblGrid>
      <w:tr w14:paraId="6D85E4B2">
        <w:tblPrEx>
          <w:tblCellMar>
            <w:top w:w="0" w:type="dxa"/>
            <w:left w:w="108" w:type="dxa"/>
            <w:bottom w:w="0" w:type="dxa"/>
            <w:right w:w="108" w:type="dxa"/>
          </w:tblCellMar>
        </w:tblPrEx>
        <w:trPr>
          <w:jc w:val="center"/>
        </w:trPr>
        <w:tc>
          <w:tcPr>
            <w:tcW w:w="1368" w:type="dxa"/>
            <w:shd w:val="clear" w:color="auto" w:fill="D9EAF7"/>
            <w:vAlign w:val="center"/>
          </w:tcPr>
          <w:p w14:paraId="12608451">
            <w:pPr>
              <w:jc w:val="center"/>
            </w:pPr>
            <w:r>
              <w:rPr>
                <w:rFonts w:eastAsia="宋体"/>
                <w:b/>
                <w:sz w:val="18"/>
              </w:rPr>
              <w:t>耦合链路</w:t>
            </w:r>
          </w:p>
        </w:tc>
        <w:tc>
          <w:tcPr>
            <w:tcW w:w="2376" w:type="dxa"/>
            <w:shd w:val="clear" w:color="auto" w:fill="D9EAF7"/>
            <w:vAlign w:val="center"/>
          </w:tcPr>
          <w:p w14:paraId="2F80D639">
            <w:pPr>
              <w:jc w:val="center"/>
            </w:pPr>
            <w:r>
              <w:rPr>
                <w:rFonts w:eastAsia="宋体"/>
                <w:b/>
                <w:sz w:val="18"/>
              </w:rPr>
              <w:t>关注对象</w:t>
            </w:r>
          </w:p>
        </w:tc>
        <w:tc>
          <w:tcPr>
            <w:tcW w:w="2664" w:type="dxa"/>
            <w:shd w:val="clear" w:color="auto" w:fill="D9EAF7"/>
            <w:vAlign w:val="center"/>
          </w:tcPr>
          <w:p w14:paraId="44F9BB7F">
            <w:pPr>
              <w:jc w:val="center"/>
            </w:pPr>
            <w:r>
              <w:rPr>
                <w:rFonts w:eastAsia="宋体"/>
                <w:b/>
                <w:sz w:val="18"/>
              </w:rPr>
              <w:t>主要约束</w:t>
            </w:r>
          </w:p>
        </w:tc>
        <w:tc>
          <w:tcPr>
            <w:tcW w:w="2952" w:type="dxa"/>
            <w:shd w:val="clear" w:color="auto" w:fill="D9EAF7"/>
            <w:vAlign w:val="center"/>
          </w:tcPr>
          <w:p w14:paraId="28E48A2F">
            <w:pPr>
              <w:jc w:val="center"/>
            </w:pPr>
            <w:r>
              <w:rPr>
                <w:rFonts w:eastAsia="宋体"/>
                <w:b/>
                <w:sz w:val="18"/>
              </w:rPr>
              <w:t>设计要点</w:t>
            </w:r>
          </w:p>
        </w:tc>
      </w:tr>
      <w:tr w14:paraId="7F921EF7">
        <w:tblPrEx>
          <w:tblCellMar>
            <w:top w:w="0" w:type="dxa"/>
            <w:left w:w="108" w:type="dxa"/>
            <w:bottom w:w="0" w:type="dxa"/>
            <w:right w:w="108" w:type="dxa"/>
          </w:tblCellMar>
        </w:tblPrEx>
        <w:trPr>
          <w:jc w:val="center"/>
        </w:trPr>
        <w:tc>
          <w:tcPr>
            <w:tcW w:w="1368" w:type="dxa"/>
            <w:vAlign w:val="center"/>
          </w:tcPr>
          <w:p w14:paraId="03AC297E">
            <w:pPr>
              <w:jc w:val="left"/>
            </w:pPr>
            <w:r>
              <w:rPr>
                <w:rFonts w:eastAsia="宋体"/>
                <w:b w:val="0"/>
                <w:sz w:val="17"/>
              </w:rPr>
              <w:t>能源链路</w:t>
            </w:r>
          </w:p>
        </w:tc>
        <w:tc>
          <w:tcPr>
            <w:tcW w:w="2376" w:type="dxa"/>
            <w:vAlign w:val="center"/>
          </w:tcPr>
          <w:p w14:paraId="2CAED605">
            <w:pPr>
              <w:jc w:val="left"/>
            </w:pPr>
            <w:r>
              <w:rPr>
                <w:rFonts w:eastAsia="宋体"/>
                <w:b w:val="0"/>
                <w:sz w:val="17"/>
              </w:rPr>
              <w:t>太阳能阵列、储能系统、配电与负载优先级</w:t>
            </w:r>
          </w:p>
        </w:tc>
        <w:tc>
          <w:tcPr>
            <w:tcW w:w="2664" w:type="dxa"/>
            <w:vAlign w:val="center"/>
          </w:tcPr>
          <w:p w14:paraId="24D66D1C">
            <w:pPr>
              <w:jc w:val="left"/>
            </w:pPr>
            <w:r>
              <w:rPr>
                <w:rFonts w:eastAsia="宋体"/>
                <w:b w:val="0"/>
                <w:sz w:val="17"/>
              </w:rPr>
              <w:t>光照/地影周期、月昼/月夜变化、储能容量和峰值功率有限</w:t>
            </w:r>
          </w:p>
        </w:tc>
        <w:tc>
          <w:tcPr>
            <w:tcW w:w="2952" w:type="dxa"/>
            <w:vAlign w:val="center"/>
          </w:tcPr>
          <w:p w14:paraId="030C20AD">
            <w:pPr>
              <w:jc w:val="left"/>
            </w:pPr>
            <w:r>
              <w:rPr>
                <w:rFonts w:eastAsia="宋体"/>
                <w:b w:val="0"/>
                <w:sz w:val="17"/>
              </w:rPr>
              <w:t>关键任务优先供电；非关键任务在光照充足或储能较高时执行，实现能源感知调度</w:t>
            </w:r>
          </w:p>
        </w:tc>
      </w:tr>
      <w:tr w14:paraId="7AECA7EF">
        <w:tblPrEx>
          <w:tblCellMar>
            <w:top w:w="0" w:type="dxa"/>
            <w:left w:w="108" w:type="dxa"/>
            <w:bottom w:w="0" w:type="dxa"/>
            <w:right w:w="108" w:type="dxa"/>
          </w:tblCellMar>
        </w:tblPrEx>
        <w:trPr>
          <w:jc w:val="center"/>
        </w:trPr>
        <w:tc>
          <w:tcPr>
            <w:tcW w:w="1368" w:type="dxa"/>
            <w:vAlign w:val="center"/>
          </w:tcPr>
          <w:p w14:paraId="54A89075">
            <w:pPr>
              <w:jc w:val="left"/>
            </w:pPr>
            <w:r>
              <w:rPr>
                <w:rFonts w:eastAsia="宋体"/>
                <w:b w:val="0"/>
                <w:sz w:val="17"/>
              </w:rPr>
              <w:t>热控链路</w:t>
            </w:r>
          </w:p>
        </w:tc>
        <w:tc>
          <w:tcPr>
            <w:tcW w:w="2376" w:type="dxa"/>
            <w:vAlign w:val="center"/>
          </w:tcPr>
          <w:p w14:paraId="4AF57849">
            <w:pPr>
              <w:jc w:val="left"/>
            </w:pPr>
            <w:r>
              <w:rPr>
                <w:rFonts w:eastAsia="宋体"/>
                <w:b w:val="0"/>
                <w:sz w:val="17"/>
              </w:rPr>
              <w:t>芯片、服务器机柜、热管/液冷回路、辐射散热器</w:t>
            </w:r>
          </w:p>
        </w:tc>
        <w:tc>
          <w:tcPr>
            <w:tcW w:w="2664" w:type="dxa"/>
            <w:vAlign w:val="center"/>
          </w:tcPr>
          <w:p w14:paraId="24B3464C">
            <w:pPr>
              <w:jc w:val="left"/>
            </w:pPr>
            <w:r>
              <w:rPr>
                <w:rFonts w:eastAsia="宋体"/>
                <w:b w:val="0"/>
                <w:sz w:val="17"/>
              </w:rPr>
              <w:t>真空环境缺少空气对流，废热只能经传导/流体回路转移并辐射排出</w:t>
            </w:r>
          </w:p>
        </w:tc>
        <w:tc>
          <w:tcPr>
            <w:tcW w:w="2952" w:type="dxa"/>
            <w:vAlign w:val="center"/>
          </w:tcPr>
          <w:p w14:paraId="357025FC">
            <w:pPr>
              <w:jc w:val="left"/>
            </w:pPr>
            <w:r>
              <w:rPr>
                <w:rFonts w:eastAsia="宋体"/>
                <w:b w:val="0"/>
                <w:sz w:val="17"/>
              </w:rPr>
              <w:t>按散热能力限制持续算力；必要时降频、暂停批处理任务或调整任务时序</w:t>
            </w:r>
          </w:p>
        </w:tc>
      </w:tr>
      <w:tr w14:paraId="1AB8B273">
        <w:tblPrEx>
          <w:tblCellMar>
            <w:top w:w="0" w:type="dxa"/>
            <w:left w:w="108" w:type="dxa"/>
            <w:bottom w:w="0" w:type="dxa"/>
            <w:right w:w="108" w:type="dxa"/>
          </w:tblCellMar>
        </w:tblPrEx>
        <w:trPr>
          <w:jc w:val="center"/>
        </w:trPr>
        <w:tc>
          <w:tcPr>
            <w:tcW w:w="1368" w:type="dxa"/>
            <w:vAlign w:val="center"/>
          </w:tcPr>
          <w:p w14:paraId="424DE75E">
            <w:pPr>
              <w:jc w:val="left"/>
            </w:pPr>
            <w:r>
              <w:rPr>
                <w:rFonts w:eastAsia="宋体"/>
                <w:b w:val="0"/>
                <w:sz w:val="17"/>
              </w:rPr>
              <w:t>计算链路</w:t>
            </w:r>
          </w:p>
        </w:tc>
        <w:tc>
          <w:tcPr>
            <w:tcW w:w="2376" w:type="dxa"/>
            <w:vAlign w:val="center"/>
          </w:tcPr>
          <w:p w14:paraId="4098AE8D">
            <w:pPr>
              <w:jc w:val="left"/>
            </w:pPr>
            <w:r>
              <w:rPr>
                <w:rFonts w:eastAsia="宋体"/>
                <w:b w:val="0"/>
                <w:sz w:val="17"/>
              </w:rPr>
              <w:t>控制计算、科学数据处理、AI 推理、可靠存储与数据校验</w:t>
            </w:r>
          </w:p>
        </w:tc>
        <w:tc>
          <w:tcPr>
            <w:tcW w:w="2664" w:type="dxa"/>
            <w:vAlign w:val="center"/>
          </w:tcPr>
          <w:p w14:paraId="4D6BF8BC">
            <w:pPr>
              <w:jc w:val="left"/>
            </w:pPr>
            <w:r>
              <w:rPr>
                <w:rFonts w:eastAsia="宋体"/>
                <w:b w:val="0"/>
                <w:sz w:val="17"/>
              </w:rPr>
              <w:t>辐射、功耗、温度和维修困难限制硬件规模与运行强度</w:t>
            </w:r>
          </w:p>
        </w:tc>
        <w:tc>
          <w:tcPr>
            <w:tcW w:w="2952" w:type="dxa"/>
            <w:vAlign w:val="center"/>
          </w:tcPr>
          <w:p w14:paraId="5C182DC3">
            <w:pPr>
              <w:jc w:val="left"/>
            </w:pPr>
            <w:r>
              <w:rPr>
                <w:rFonts w:eastAsia="宋体"/>
                <w:b w:val="0"/>
                <w:sz w:val="17"/>
              </w:rPr>
              <w:t>按任务重要性分配算力，采用可靠、低功耗、可降级运行的计算结构</w:t>
            </w:r>
          </w:p>
        </w:tc>
      </w:tr>
      <w:tr w14:paraId="4330160B">
        <w:tblPrEx>
          <w:tblCellMar>
            <w:top w:w="0" w:type="dxa"/>
            <w:left w:w="108" w:type="dxa"/>
            <w:bottom w:w="0" w:type="dxa"/>
            <w:right w:w="108" w:type="dxa"/>
          </w:tblCellMar>
        </w:tblPrEx>
        <w:trPr>
          <w:jc w:val="center"/>
        </w:trPr>
        <w:tc>
          <w:tcPr>
            <w:tcW w:w="1368" w:type="dxa"/>
            <w:vAlign w:val="center"/>
          </w:tcPr>
          <w:p w14:paraId="1495EB34">
            <w:pPr>
              <w:jc w:val="left"/>
            </w:pPr>
            <w:r>
              <w:rPr>
                <w:rFonts w:eastAsia="宋体"/>
                <w:b w:val="0"/>
                <w:sz w:val="17"/>
              </w:rPr>
              <w:t>通信链路</w:t>
            </w:r>
          </w:p>
        </w:tc>
        <w:tc>
          <w:tcPr>
            <w:tcW w:w="2376" w:type="dxa"/>
            <w:vAlign w:val="center"/>
          </w:tcPr>
          <w:p w14:paraId="5687DF46">
            <w:pPr>
              <w:jc w:val="left"/>
            </w:pPr>
            <w:r>
              <w:rPr>
                <w:rFonts w:eastAsia="宋体"/>
                <w:b w:val="0"/>
                <w:sz w:val="17"/>
              </w:rPr>
              <w:t>星间链路、地面站窗口、数据缓存、压缩与下传策略</w:t>
            </w:r>
          </w:p>
        </w:tc>
        <w:tc>
          <w:tcPr>
            <w:tcW w:w="2664" w:type="dxa"/>
            <w:vAlign w:val="center"/>
          </w:tcPr>
          <w:p w14:paraId="5C6BE8AF">
            <w:pPr>
              <w:jc w:val="left"/>
            </w:pPr>
            <w:r>
              <w:rPr>
                <w:rFonts w:eastAsia="宋体"/>
                <w:b w:val="0"/>
                <w:sz w:val="17"/>
              </w:rPr>
              <w:t>带宽有限、通信窗口受限、深空时延高，原始数据全部回传成本高</w:t>
            </w:r>
          </w:p>
        </w:tc>
        <w:tc>
          <w:tcPr>
            <w:tcW w:w="2952" w:type="dxa"/>
            <w:vAlign w:val="center"/>
          </w:tcPr>
          <w:p w14:paraId="5AD22828">
            <w:pPr>
              <w:jc w:val="left"/>
            </w:pPr>
            <w:r>
              <w:rPr>
                <w:rFonts w:eastAsia="宋体"/>
                <w:b w:val="0"/>
                <w:sz w:val="17"/>
              </w:rPr>
              <w:t>在太空本地完成筛选、压缩和识别，仅下传高价值结果或摘要信息</w:t>
            </w:r>
          </w:p>
        </w:tc>
      </w:tr>
    </w:tbl>
    <w:p w14:paraId="162A2A51">
      <w:pPr>
        <w:ind w:firstLine="420" w:firstLineChars="0"/>
        <w:rPr>
          <w:rFonts w:hint="eastAsia"/>
        </w:rPr>
      </w:pPr>
    </w:p>
    <w:p w14:paraId="1436DFEB">
      <w:pPr>
        <w:ind w:firstLine="420" w:firstLineChars="0"/>
        <w:rPr>
          <w:rFonts w:hint="eastAsia"/>
        </w:rPr>
      </w:pPr>
      <w:r>
        <w:rPr>
          <w:rFonts w:hint="eastAsia"/>
        </w:rPr>
        <w:t>首先是能源链路。太空算力中心通常依赖太阳能阵列供电，并通过电池、再生燃料电池或其他储能系统维持阴影期和峰值负载期间的运行。以近地轨道平台为例，航天器会周期性经历光照和地影；以月球基地为例，月昼和月夜会造成更长时间尺度的能源波动。因此，太空算力中心不能长期按照满负荷模式运行，而要根据能源状态进行任务调度。生命保障监测、电源管理、热控控制、姿态安全、应急通信等任务属于关键负载，应获得优先供电；图像批处理、科学数据分析、模型更新、历史数据整理等任务则可以安排在光照充足、储能较高或通信窗口合适时执行。</w:t>
      </w:r>
    </w:p>
    <w:p w14:paraId="664486CF">
      <w:pPr>
        <w:ind w:firstLine="420" w:firstLineChars="0"/>
        <w:rPr>
          <w:rFonts w:hint="eastAsia"/>
        </w:rPr>
      </w:pPr>
    </w:p>
    <w:p w14:paraId="236C09A8">
      <w:pPr>
        <w:ind w:firstLine="420" w:firstLineChars="0"/>
        <w:rPr>
          <w:rFonts w:hint="eastAsia"/>
        </w:rPr>
      </w:pPr>
      <w:r>
        <w:rPr>
          <w:rFonts w:hint="eastAsia"/>
        </w:rPr>
        <w:t>其次是热控链路。计算设备消耗的电能最终大部分会转化为热量。地面数据中心可以利用风冷、液冷、冷却塔等方式持续排热，但太空环境是真空，缺少空气对流，废热不能自然被“吹走”。因此，太空算力中心必须通过导热结构、热管、液冷回路等方式将热量转移到散热器，再由散热器以辐射方式排向深空。由此可见，太空算力中心的可持续算力不仅取决于太阳能阵列能提供多少电力，也取决于热控系统能排出多少废热。若散热能力不足，即使电力充足，计算设备也必须降频或暂停部分任务，以避免局部过热。</w:t>
      </w:r>
    </w:p>
    <w:p w14:paraId="55FBB224">
      <w:pPr>
        <w:ind w:firstLine="420" w:firstLineChars="0"/>
        <w:rPr>
          <w:rFonts w:hint="eastAsia"/>
        </w:rPr>
      </w:pPr>
    </w:p>
    <w:p w14:paraId="1591CEF8">
      <w:pPr>
        <w:ind w:firstLine="420" w:firstLineChars="0"/>
        <w:rPr>
          <w:rFonts w:ascii="宋体" w:hAnsi="宋体" w:eastAsia="宋体"/>
          <w:i w:val="0"/>
          <w:sz w:val="18"/>
        </w:rPr>
      </w:pPr>
      <w:r>
        <w:rPr>
          <w:rFonts w:hint="eastAsia"/>
        </w:rPr>
        <w:t>再次是计算链路。太空算力中心不宜简单照搬地面高密度服务器集群，而应采用高可靠、低功耗、可降级运行的计算架构</w:t>
      </w:r>
      <w:r>
        <w:rPr>
          <w:rFonts w:hint="eastAsia"/>
          <w:lang w:eastAsia="zh-CN"/>
        </w:rPr>
        <w:t>，</w:t>
      </w:r>
      <w:r>
        <w:rPr>
          <w:rFonts w:hint="eastAsia"/>
        </w:rPr>
        <w:t>可以将其理解为“按任务重要程度分配算力”。关键任务需要稳定、低功耗、抗故障的计算单元保障；非关键任务则可以根据电力、温度和通信条件动态调整执行时机。抗辐射处理器、AI 加速器、可靠存储和数据校验机制，都服务于同一个目标：在复杂空间环境下，使计算系统能够长期可靠运行。</w:t>
      </w:r>
    </w:p>
    <w:p w14:paraId="0CE9D59C">
      <w:pPr>
        <w:jc w:val="center"/>
        <w:rPr>
          <w:rFonts w:hint="eastAsia" w:ascii="宋体" w:hAnsi="宋体" w:eastAsia="宋体"/>
          <w:i w:val="0"/>
          <w:sz w:val="18"/>
        </w:rPr>
      </w:pPr>
    </w:p>
    <w:p w14:paraId="5A046E7F">
      <w:pPr>
        <w:ind w:firstLine="420" w:firstLineChars="0"/>
        <w:rPr>
          <w:rFonts w:hint="eastAsia"/>
        </w:rPr>
      </w:pPr>
      <w:r>
        <w:rPr>
          <w:rFonts w:hint="eastAsia"/>
        </w:rPr>
        <w:t>最后是通信链路。太空任务中的通信资源通常十分宝贵，原始数据并不总是适合全部传回地面处理。数据在哪里处理，取决于把数据传输过去是否划算。如果遥感卫星拍摄了大量图像，但其中只有少数图像包含重点目标，那么在太空本地先进行筛选和压缩，再把结果传回地面，往往比传输全部原始数据更有效。相反，如果某些任务计算复杂但不紧急，且通信条件允许，也可以继续依赖地面数据中心完成。</w:t>
      </w:r>
    </w:p>
    <w:p w14:paraId="7F010E45">
      <w:pPr>
        <w:ind w:firstLine="420" w:firstLineChars="0"/>
        <w:rPr>
          <w:rFonts w:hint="eastAsia"/>
        </w:rPr>
      </w:pPr>
    </w:p>
    <w:p w14:paraId="3B5E8AFA">
      <w:pPr>
        <w:ind w:firstLine="420" w:firstLineChars="0"/>
        <w:rPr>
          <w:rFonts w:hint="eastAsia"/>
        </w:rPr>
      </w:pPr>
      <w:r>
        <w:rPr>
          <w:rFonts w:hint="eastAsia"/>
        </w:rPr>
        <w:t>太空算力中心的价值并不是替代地面数据中心，而是在通信受限、时延较高或任务需要快速响应时，承担靠近数据源的预处理和自治决策功能。</w:t>
      </w:r>
    </w:p>
    <w:p w14:paraId="04720541">
      <w:pPr>
        <w:rPr>
          <w:rFonts w:hint="eastAsia"/>
        </w:rPr>
      </w:pPr>
    </w:p>
    <w:p w14:paraId="63BC8983">
      <w:pPr>
        <w:rPr>
          <w:rFonts w:hint="eastAsia"/>
          <w:b/>
          <w:bCs/>
          <w:sz w:val="24"/>
          <w:szCs w:val="24"/>
        </w:rPr>
      </w:pPr>
      <w:r>
        <w:rPr>
          <w:rFonts w:hint="eastAsia"/>
          <w:b/>
          <w:bCs/>
          <w:sz w:val="24"/>
          <w:szCs w:val="24"/>
        </w:rPr>
        <w:t>10.1.5.3 典型应用系统中的嵌入方式</w:t>
      </w:r>
    </w:p>
    <w:p w14:paraId="26BB8630">
      <w:pPr>
        <w:ind w:firstLine="420" w:firstLineChars="0"/>
        <w:rPr>
          <w:rFonts w:hint="eastAsia"/>
        </w:rPr>
      </w:pPr>
    </w:p>
    <w:p w14:paraId="7BD69AA0">
      <w:pPr>
        <w:ind w:firstLine="420" w:firstLineChars="0"/>
        <w:rPr>
          <w:rFonts w:hint="eastAsia"/>
        </w:rPr>
      </w:pPr>
      <w:r>
        <w:rPr>
          <w:rFonts w:hint="eastAsia"/>
          <w:lang w:val="en-US" w:eastAsia="zh-CN"/>
        </w:rPr>
        <w:t>和计算机同样，</w:t>
      </w:r>
      <w:r>
        <w:rPr>
          <w:rFonts w:hint="eastAsia"/>
        </w:rPr>
        <w:t>太空算力中心</w:t>
      </w:r>
      <w:r>
        <w:rPr>
          <w:rFonts w:hint="eastAsia"/>
          <w:lang w:val="en-US" w:eastAsia="zh-CN"/>
        </w:rPr>
        <w:t>并不是孤立存在的独立系统，而是可以嵌入空间站、通信平台、月球基地、火星任务和太空化工厂等不同应用系统之中。</w:t>
      </w:r>
    </w:p>
    <w:p w14:paraId="48577553">
      <w:pPr>
        <w:ind w:firstLine="420" w:firstLineChars="0"/>
        <w:rPr>
          <w:rFonts w:hint="eastAsia"/>
        </w:rPr>
      </w:pPr>
    </w:p>
    <w:p w14:paraId="041422DF">
      <w:pPr>
        <w:ind w:firstLine="420" w:firstLineChars="0"/>
        <w:rPr>
          <w:rFonts w:hint="eastAsia"/>
        </w:rPr>
      </w:pPr>
      <w:r>
        <w:rPr>
          <w:rFonts w:hint="eastAsia"/>
        </w:rPr>
        <w:t>在地球轨道大型设施中，太空算力中心可依托空间站、超级通信平台或大型卫星平台的太阳能阵列、储能系统和热控系统，承担遥感数据预处理、通信缓存、科学实验数据分析和平台健康管理等任务。其价值在于减少无效数据下传，提高通信链路利用率，并通过对电源、热控和载荷状态的实时分析提升设施运行效率。例如，轨道平台可在本地初步判断观测数据是否具有下传价值，优先传输灾害监测、目标识别或异常状态相关信息，从而减轻天地通信压力。</w:t>
      </w:r>
    </w:p>
    <w:p w14:paraId="69DD3283">
      <w:pPr>
        <w:ind w:firstLine="420" w:firstLineChars="0"/>
        <w:jc w:val="both"/>
        <w:rPr>
          <w:rFonts w:hint="eastAsia" w:ascii="宋体" w:hAnsi="宋体" w:eastAsia="宋体"/>
          <w:i w:val="0"/>
          <w:sz w:val="18"/>
        </w:rPr>
      </w:pPr>
    </w:p>
    <w:p w14:paraId="55F6419F">
      <w:pPr>
        <w:ind w:firstLine="420" w:firstLineChars="0"/>
        <w:rPr>
          <w:rFonts w:hint="eastAsia"/>
        </w:rPr>
      </w:pPr>
      <w:r>
        <w:rPr>
          <w:rFonts w:hint="eastAsia"/>
        </w:rPr>
        <w:t>在永久驻留型月球基地中，算力中心更接近基地边缘云，即靠近任务现场的小型计算与数据处理平台。月昼期间，太阳能较为充足，可执行高负载的数据分析、机器人调度、地质建模、实验数据处理和能源系统优化任务；月夜期间，太阳能不可用或严重不足，算力中心需要进入低功耗模式，优先保障生命保障、热控、电池状态监测、故障诊断和应急通信等关键功能。由此可见，月球基地算力中心的运行策略必须与月昼/月夜能源周期、储能系统和燃料电池系统协同设计。</w:t>
      </w:r>
    </w:p>
    <w:p w14:paraId="0EB50859">
      <w:pPr>
        <w:jc w:val="center"/>
        <w:rPr>
          <w:rFonts w:hint="eastAsia" w:eastAsiaTheme="minorEastAsia"/>
          <w:lang w:eastAsia="zh-CN"/>
        </w:rPr>
      </w:pPr>
      <w:r>
        <w:rPr>
          <w:rFonts w:ascii="宋体" w:hAnsi="宋体" w:eastAsia="宋体" w:cs="宋体"/>
          <w:sz w:val="24"/>
          <w:szCs w:val="24"/>
        </w:rPr>
        <w:drawing>
          <wp:inline distT="0" distB="0" distL="114300" distR="114300">
            <wp:extent cx="5299075" cy="2469515"/>
            <wp:effectExtent l="0" t="0" r="15875" b="698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6"/>
                    <a:stretch>
                      <a:fillRect/>
                    </a:stretch>
                  </pic:blipFill>
                  <pic:spPr>
                    <a:xfrm>
                      <a:off x="0" y="0"/>
                      <a:ext cx="5299075" cy="2469515"/>
                    </a:xfrm>
                    <a:prstGeom prst="rect">
                      <a:avLst/>
                    </a:prstGeom>
                    <a:noFill/>
                    <a:ln w="9525">
                      <a:noFill/>
                    </a:ln>
                  </pic:spPr>
                </pic:pic>
              </a:graphicData>
            </a:graphic>
          </wp:inline>
        </w:drawing>
      </w:r>
    </w:p>
    <w:p w14:paraId="13C7AB9E">
      <w:pPr>
        <w:ind w:firstLine="420" w:firstLineChars="0"/>
        <w:rPr>
          <w:rFonts w:hint="eastAsia" w:ascii="宋体" w:hAnsi="宋体" w:eastAsia="宋体"/>
          <w:i w:val="0"/>
          <w:sz w:val="18"/>
          <w:lang w:val="en-US" w:eastAsia="zh-CN"/>
        </w:rPr>
      </w:pPr>
      <w:r>
        <w:rPr>
          <w:rFonts w:ascii="宋体" w:hAnsi="宋体" w:eastAsia="宋体"/>
          <w:i w:val="0"/>
          <w:sz w:val="18"/>
        </w:rPr>
        <w:t>图10.1.5-</w:t>
      </w:r>
      <w:r>
        <w:rPr>
          <w:rFonts w:hint="eastAsia" w:ascii="宋体" w:hAnsi="宋体" w:eastAsia="宋体"/>
          <w:i w:val="0"/>
          <w:sz w:val="18"/>
          <w:lang w:val="en-US" w:eastAsia="zh-CN"/>
        </w:rPr>
        <w:t>2</w:t>
      </w:r>
      <w:r>
        <w:rPr>
          <w:rFonts w:ascii="宋体" w:hAnsi="宋体" w:eastAsia="宋体"/>
          <w:i w:val="0"/>
          <w:sz w:val="18"/>
        </w:rPr>
        <w:t xml:space="preserve"> </w:t>
      </w:r>
      <w:r>
        <w:rPr>
          <w:rFonts w:hint="eastAsia" w:ascii="宋体" w:hAnsi="宋体" w:eastAsia="宋体"/>
          <w:i w:val="0"/>
          <w:sz w:val="18"/>
          <w:lang w:val="en-US" w:eastAsia="zh-CN"/>
        </w:rPr>
        <w:t>基于JAXA提供的循环可再生能源系统所衍生的月球基地循环可再生能源系统示意。月昼期间，太阳能可驱动水电解系统产生并储存氢气氧气；月</w:t>
      </w:r>
      <w:bookmarkStart w:id="0" w:name="_GoBack"/>
      <w:bookmarkEnd w:id="0"/>
      <w:r>
        <w:rPr>
          <w:rFonts w:hint="eastAsia" w:ascii="宋体" w:hAnsi="宋体" w:eastAsia="宋体"/>
          <w:i w:val="0"/>
          <w:sz w:val="18"/>
          <w:lang w:val="en-US" w:eastAsia="zh-CN"/>
        </w:rPr>
        <w:t>夜或光照不足时，燃料电池利用氢气和氧气发电，并生成水回到循环过程。</w:t>
      </w:r>
    </w:p>
    <w:p w14:paraId="40A06EFF">
      <w:pPr>
        <w:ind w:firstLine="420" w:firstLineChars="0"/>
        <w:rPr>
          <w:rFonts w:hint="eastAsia" w:ascii="宋体" w:hAnsi="宋体" w:eastAsia="宋体"/>
          <w:i w:val="0"/>
          <w:sz w:val="18"/>
          <w:lang w:val="en-US" w:eastAsia="zh-CN"/>
        </w:rPr>
      </w:pPr>
    </w:p>
    <w:p w14:paraId="39EF0A5F">
      <w:pPr>
        <w:ind w:firstLine="420" w:firstLineChars="0"/>
        <w:rPr>
          <w:rFonts w:hint="eastAsia"/>
        </w:rPr>
      </w:pPr>
      <w:r>
        <w:rPr>
          <w:rFonts w:hint="eastAsia"/>
        </w:rPr>
        <w:t>对月球车而言，算力中心可作为固定基地的高性能计算节点，与车载低功耗处理器形成分层协同架构。月球车本地负责避障、姿态控制、安全停车等实时任务，因为这些任务必须立即响应，不能完全依赖远程计算；基地算力中心则负责路径规划、地图融合、科学图像分析和多车协同调度。当月球车电量不足、散热条件受限或通信窗口有限时，非实时计算任务可以转移至基地处理，从而降低移动平台的能源压力，延长月球车有效工作时间。</w:t>
      </w:r>
    </w:p>
    <w:p w14:paraId="68A941A2">
      <w:pPr>
        <w:ind w:firstLine="420" w:firstLineChars="0"/>
        <w:rPr>
          <w:rFonts w:hint="eastAsia"/>
        </w:rPr>
      </w:pPr>
    </w:p>
    <w:p w14:paraId="2850C705">
      <w:pPr>
        <w:ind w:firstLine="420" w:firstLineChars="0"/>
        <w:rPr>
          <w:rFonts w:hint="eastAsia"/>
        </w:rPr>
      </w:pPr>
      <w:r>
        <w:rPr>
          <w:rFonts w:hint="eastAsia"/>
        </w:rPr>
        <w:t>在载人火星任务中，通信时延和任务周期进一步放大了本地算力的重要性。火星任务无法长期依赖地面实时控制，无论是飞行途中能源与生命保障系统监测，还是火星驻留阶段的基地运行、机器人作业和科学实验，都需要较强的本地自治能力。算力中心可以通过预测能源供需、识别设备异常、压缩科学数据和辅助乘组决策，降低对地面实时指令的依赖。在能源系统层面，它还可以协调太阳能、储能、核能或其他电源形式，使基地关键负载在不同工况下保持稳定运行。</w:t>
      </w:r>
    </w:p>
    <w:p w14:paraId="367D8E01">
      <w:pPr>
        <w:ind w:firstLine="420" w:firstLineChars="0"/>
        <w:rPr>
          <w:rFonts w:hint="eastAsia"/>
        </w:rPr>
      </w:pPr>
    </w:p>
    <w:p w14:paraId="7CE0189F">
      <w:pPr>
        <w:rPr>
          <w:rFonts w:hint="eastAsia"/>
        </w:rPr>
      </w:pPr>
      <w:r>
        <w:rPr>
          <w:rFonts w:hint="eastAsia"/>
          <w:b/>
          <w:bCs/>
          <w:sz w:val="24"/>
          <w:szCs w:val="24"/>
        </w:rPr>
        <w:t>10.1.5.4 海外案例与技术验证</w:t>
      </w:r>
    </w:p>
    <w:p w14:paraId="7859EAD9">
      <w:pPr>
        <w:ind w:firstLine="420" w:firstLineChars="0"/>
        <w:rPr>
          <w:rFonts w:hint="eastAsia"/>
        </w:rPr>
      </w:pPr>
    </w:p>
    <w:p w14:paraId="478E807D">
      <w:pPr>
        <w:ind w:firstLine="420" w:firstLineChars="0"/>
        <w:rPr>
          <w:rFonts w:hint="eastAsia"/>
        </w:rPr>
      </w:pPr>
      <w:r>
        <w:rPr>
          <w:rFonts w:hint="eastAsia"/>
        </w:rPr>
        <w:t>太空算力中心已经从概念研究逐步进入在轨验证和商业原型探索阶段，但目前仍未形成成熟的大规模轨道数据中心。</w:t>
      </w:r>
    </w:p>
    <w:p w14:paraId="6FC190CA">
      <w:pPr>
        <w:ind w:firstLine="420" w:firstLineChars="0"/>
        <w:rPr>
          <w:rFonts w:hint="eastAsia"/>
        </w:rPr>
      </w:pPr>
    </w:p>
    <w:p w14:paraId="1BAECE25">
      <w:pPr>
        <w:ind w:firstLine="420" w:firstLineChars="0"/>
        <w:rPr>
          <w:rFonts w:hint="eastAsia"/>
        </w:rPr>
      </w:pPr>
      <w:r>
        <w:rPr>
          <w:rFonts w:hint="eastAsia"/>
        </w:rPr>
        <w:t>国际空间站可作为早期在轨计算验证的重要平台。它具备相对成熟的太阳能供电、储能、热控、通信和实验机柜条件，为高性能计算设备上天提供了基础环境。HPE 与 NASA 合作开展的 Spaceborne Computer 系列任务，将高性能计算设备送入国际空间站，验证其在空间环境下运行的可行性，代表了“在轨边缘计算节点”的早期形态。这类项目说明，太空算力中心的现实起点并不是大型轨道机房，而是在已有空间平台上部署小规模、高价值的计算模块。</w:t>
      </w:r>
    </w:p>
    <w:p w14:paraId="78C2B880">
      <w:pPr>
        <w:rPr>
          <w:rFonts w:hint="eastAsia"/>
        </w:rPr>
      </w:pPr>
    </w:p>
    <w:p w14:paraId="638B9E4E">
      <w:pPr>
        <w:ind w:firstLine="420" w:firstLineChars="0"/>
        <w:rPr>
          <w:rFonts w:hint="eastAsia"/>
        </w:rPr>
      </w:pPr>
      <w:r>
        <w:rPr>
          <w:rFonts w:hint="eastAsia"/>
        </w:rPr>
        <w:t>NASA 的 High Performance Spaceflight Computing 项目则体现了未来空间计算硬件的发展方向。该项目并不只是追求更高计算速度，还强调低功耗、抗辐射、容错、可关闭闲置功能和适应深空任务的可靠运行能力。这与太空算力中心的能源逻辑高度一致：未来空间计算设备必须在有限功率下完成更多任务，并能在故障、辐射或能源不足时维持基本功能。</w:t>
      </w:r>
    </w:p>
    <w:p w14:paraId="2DB44C9C">
      <w:pPr>
        <w:ind w:firstLine="420" w:firstLineChars="0"/>
        <w:rPr>
          <w:rFonts w:hint="eastAsia"/>
        </w:rPr>
      </w:pPr>
    </w:p>
    <w:p w14:paraId="427B1912">
      <w:pPr>
        <w:ind w:firstLine="420" w:firstLineChars="0"/>
      </w:pPr>
      <w:r>
        <w:rPr>
          <w:rFonts w:hint="eastAsia"/>
        </w:rPr>
        <w:t>欧洲相关机构提出的空间数据中心研究，则将目光投向更大规模的轨道数据基础设施，探讨利用太空太阳能和深空辐射散热条件支撑数据处理的可能性。但这类方案仍面临发电面积、散热面积、发射质量、通信带宽、在轨组装和经济性等多重挑战。因此，在本章语境下，它更适合作为长期发展趋势，而不宜被描述为已经成熟的应用系统。</w:t>
      </w:r>
    </w:p>
    <w:p w14:paraId="548DB373">
      <w:pPr>
        <w:ind w:firstLine="420" w:firstLineChars="0"/>
        <w:rPr>
          <w:rFonts w:hint="eastAsia"/>
        </w:rPr>
      </w:pPr>
    </w:p>
    <w:p w14:paraId="3A8BC458">
      <w:pPr>
        <w:jc w:val="center"/>
        <w:rPr>
          <w:rFonts w:hint="eastAsia" w:eastAsiaTheme="minorEastAsia"/>
          <w:lang w:eastAsia="zh-CN"/>
        </w:rPr>
      </w:pPr>
      <w:r>
        <w:drawing>
          <wp:inline distT="0" distB="0" distL="114300" distR="114300">
            <wp:extent cx="4846320" cy="2726690"/>
            <wp:effectExtent l="0" t="0" r="11430"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846320" cy="2726863"/>
                    </a:xfrm>
                    <a:prstGeom prst="rect">
                      <a:avLst/>
                    </a:prstGeom>
                  </pic:spPr>
                </pic:pic>
              </a:graphicData>
            </a:graphic>
          </wp:inline>
        </w:drawing>
      </w:r>
    </w:p>
    <w:p w14:paraId="4B27F8CB">
      <w:pPr>
        <w:jc w:val="center"/>
      </w:pPr>
      <w:r>
        <w:rPr>
          <w:rFonts w:ascii="宋体" w:hAnsi="宋体" w:eastAsia="宋体"/>
          <w:i w:val="0"/>
          <w:sz w:val="18"/>
        </w:rPr>
        <w:t>图10.1.5-</w:t>
      </w:r>
      <w:r>
        <w:rPr>
          <w:rFonts w:hint="eastAsia" w:ascii="宋体" w:hAnsi="宋体" w:eastAsia="宋体"/>
          <w:i w:val="0"/>
          <w:sz w:val="18"/>
          <w:lang w:val="en-US" w:eastAsia="zh-CN"/>
        </w:rPr>
        <w:t>3</w:t>
      </w:r>
      <w:r>
        <w:rPr>
          <w:rFonts w:ascii="宋体" w:hAnsi="宋体" w:eastAsia="宋体"/>
          <w:i w:val="0"/>
          <w:sz w:val="18"/>
        </w:rPr>
        <w:t xml:space="preserve"> ASCEND 空间数据中心概念图。该类方案设想利用太空太阳能和空间基础设施支撑数据处理，但目前仍处于可行性研究阶段，工程实现仍受发电、散热、发射质量、通信链路和经济性等条件限制。</w:t>
      </w:r>
    </w:p>
    <w:p w14:paraId="6FD3B6D1">
      <w:pPr>
        <w:rPr>
          <w:rFonts w:hint="eastAsia"/>
        </w:rPr>
      </w:pPr>
    </w:p>
    <w:p w14:paraId="1112F3B8">
      <w:pPr>
        <w:ind w:firstLine="420" w:firstLineChars="0"/>
        <w:rPr>
          <w:rFonts w:hint="eastAsia"/>
        </w:rPr>
      </w:pPr>
      <w:r>
        <w:rPr>
          <w:rFonts w:hint="eastAsia"/>
        </w:rPr>
        <w:t>总体来看，海外案例表明，太空算力中心目前主要处于在轨验证、原型系统和可行性研究阶段。其现实形态仍以空间站计算模块、卫星边缘处理节点、月球或深空任务自治计算平台为主。这些系统规模相对较小、任务边界明确，并高度依赖所在空间平台的供电、热控和通信条件。</w:t>
      </w:r>
    </w:p>
    <w:p w14:paraId="3DC6C5B9">
      <w:pPr>
        <w:rPr>
          <w:rFonts w:hint="eastAsia"/>
        </w:rPr>
      </w:pPr>
    </w:p>
    <w:p w14:paraId="474467D7">
      <w:pPr>
        <w:rPr>
          <w:rFonts w:hint="eastAsia"/>
        </w:rPr>
      </w:pPr>
      <w:r>
        <w:rPr>
          <w:rFonts w:hint="eastAsia"/>
          <w:b/>
          <w:bCs/>
          <w:sz w:val="24"/>
          <w:szCs w:val="24"/>
        </w:rPr>
        <w:t>10.1.5.5 技术挑战与发展趋势</w:t>
      </w:r>
    </w:p>
    <w:p w14:paraId="65056D99">
      <w:pPr>
        <w:ind w:firstLine="420" w:firstLineChars="0"/>
        <w:rPr>
          <w:rFonts w:hint="eastAsia"/>
        </w:rPr>
      </w:pPr>
    </w:p>
    <w:p w14:paraId="15AB667D">
      <w:pPr>
        <w:ind w:firstLine="420" w:firstLineChars="0"/>
        <w:rPr>
          <w:rFonts w:hint="eastAsia"/>
        </w:rPr>
      </w:pPr>
      <w:r>
        <w:rPr>
          <w:rFonts w:hint="eastAsia"/>
        </w:rPr>
        <w:t>太空算力中心的发展面临多方面挑战。首先是能源与热控挑战。计算能力越强，电力需求和废热排放越大，进而要求更大的太阳能阵列、更高效的储能系统和更强的散热能力。对于长期运行的平台而言，散热器面积、系统质量和热控可靠性可能成为限制算力规模的关键因素。也就是说，太空算力中心不能只计算“有多少芯片”，还必须同时计算“能发多少电、能存多少电、能排多少热”。</w:t>
      </w:r>
    </w:p>
    <w:p w14:paraId="39EAFB7B">
      <w:pPr>
        <w:ind w:firstLine="420" w:firstLineChars="0"/>
        <w:rPr>
          <w:rFonts w:hint="eastAsia"/>
        </w:rPr>
      </w:pPr>
    </w:p>
    <w:p w14:paraId="58324C2A">
      <w:pPr>
        <w:ind w:firstLine="420" w:firstLineChars="0"/>
        <w:rPr>
          <w:rFonts w:hint="eastAsia"/>
        </w:rPr>
      </w:pPr>
      <w:r>
        <w:rPr>
          <w:rFonts w:hint="eastAsia"/>
        </w:rPr>
        <w:t>其次是可靠性与运维挑战。太空环境存在辐射、温度循环、微流星体和太空碎片等风险，硬件维修或更换远比地面困难。因此，太空算力中心必须具备冗余设计、故障隔离、远程诊断和降级运行能力。当能源不足、温度过高或通信中断时，系统应能自动降低负载，优先保障关键任务，而不是追求所有计算任务同时运行。</w:t>
      </w:r>
    </w:p>
    <w:p w14:paraId="575B10D5">
      <w:pPr>
        <w:ind w:firstLine="420" w:firstLineChars="0"/>
        <w:rPr>
          <w:rFonts w:hint="eastAsia"/>
        </w:rPr>
      </w:pPr>
    </w:p>
    <w:p w14:paraId="3547B019">
      <w:pPr>
        <w:ind w:firstLine="420" w:firstLineChars="0"/>
        <w:rPr>
          <w:rFonts w:hint="eastAsia"/>
        </w:rPr>
      </w:pPr>
      <w:r>
        <w:rPr>
          <w:rFonts w:hint="eastAsia"/>
        </w:rPr>
        <w:t>再次是通信与经济性挑战。大规模空间数据中心若要服务地面或其他航天器，必须具备高带宽、稳定可靠的星间链路和天地通信能力。同时，发射成本、在轨组装、长期维护、轨道资源占用和太空碎片风险都会影响其经济可行性。对于多数近期任务而言，把所有计算搬到太空并不现实，更可行的方式是在数据产生地附近完成筛选、压缩、识别和自治决策，再与地面数据中心形成分工。</w:t>
      </w:r>
    </w:p>
    <w:p w14:paraId="1B0043A0">
      <w:pPr>
        <w:ind w:firstLine="420" w:firstLineChars="0"/>
        <w:rPr>
          <w:rFonts w:hint="eastAsia"/>
        </w:rPr>
      </w:pPr>
    </w:p>
    <w:p w14:paraId="3ED93185">
      <w:pPr>
        <w:ind w:firstLine="420" w:firstLineChars="0"/>
      </w:pPr>
      <w:r>
        <w:rPr>
          <w:rFonts w:hint="eastAsia"/>
        </w:rPr>
        <w:t>总体来看，太空算力中心的发展路径应当是由小到大、由专用到通用、由任务内嵌到平台化服务。近期重点并不是建设大型轨道云计算中心，而是在空间站、卫星星座、月球基地和火星任务中部署能源感知型计算节点，使其成为空间能源系统的智能负载、状态监测器和优化调度器。长期看，随着大功率空间能源、在轨组装、高效散热和空间网络技术成熟，太空算力中心才可能从任务支撑设施逐步发展为空间基础设施的重要组成部分。</w:t>
      </w:r>
    </w:p>
    <w:p w14:paraId="2ACE59F5">
      <w:pPr>
        <w:spacing w:before="120" w:after="0" w:line="240" w:lineRule="auto"/>
      </w:pPr>
    </w:p>
    <w:p w14:paraId="51D39245">
      <w:pPr>
        <w:spacing w:before="60" w:after="180" w:line="240" w:lineRule="auto"/>
      </w:pPr>
    </w:p>
    <w:p w14:paraId="6AE42368">
      <w:pPr>
        <w:spacing w:before="120" w:after="0" w:line="240" w:lineRule="auto"/>
      </w:pPr>
    </w:p>
    <w:p w14:paraId="72ED0E72">
      <w:pPr>
        <w:spacing w:before="60" w:after="180" w:line="240" w:lineRule="auto"/>
      </w:pPr>
    </w:p>
    <w:p w14:paraId="1EFA1C38">
      <w:pPr>
        <w:spacing w:before="120" w:after="0" w:line="240" w:lineRule="auto"/>
        <w:rPr>
          <w:rFonts w:hint="default" w:eastAsiaTheme="minorEastAsia"/>
          <w:lang w:val="en-US" w:eastAsia="zh-CN"/>
        </w:rPr>
      </w:pPr>
      <w:r>
        <w:rPr>
          <w:rFonts w:hint="eastAsia"/>
          <w:lang w:val="en-US" w:eastAsia="zh-CN"/>
        </w:rPr>
        <w:t>AI绘ASCEND空间数据中心结构图（暂定）：</w:t>
      </w:r>
    </w:p>
    <w:p w14:paraId="6CE435DD">
      <w:pPr>
        <w:spacing w:before="60" w:after="180" w:line="240" w:lineRule="auto"/>
        <w:rPr>
          <w:rFonts w:hint="eastAsia" w:eastAsiaTheme="minorEastAsia"/>
          <w:lang w:eastAsia="zh-CN"/>
        </w:rPr>
      </w:pPr>
      <w:r>
        <w:rPr>
          <w:rFonts w:hint="eastAsia" w:eastAsiaTheme="minorEastAsia"/>
          <w:lang w:eastAsia="zh-CN"/>
        </w:rPr>
        <w:drawing>
          <wp:inline distT="0" distB="0" distL="114300" distR="114300">
            <wp:extent cx="5266690" cy="3511550"/>
            <wp:effectExtent l="0" t="0" r="10160" b="12700"/>
            <wp:docPr id="6" name="图片 6" descr="33ca5e6c73c5035dcabc1b92fb203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3ca5e6c73c5035dcabc1b92fb203048"/>
                    <pic:cNvPicPr>
                      <a:picLocks noChangeAspect="1"/>
                    </pic:cNvPicPr>
                  </pic:nvPicPr>
                  <pic:blipFill>
                    <a:blip r:embed="rId8"/>
                    <a:stretch>
                      <a:fillRect/>
                    </a:stretch>
                  </pic:blipFill>
                  <pic:spPr>
                    <a:xfrm>
                      <a:off x="0" y="0"/>
                      <a:ext cx="5266690" cy="3511550"/>
                    </a:xfrm>
                    <a:prstGeom prst="rect">
                      <a:avLst/>
                    </a:prstGeom>
                  </pic:spPr>
                </pic:pic>
              </a:graphicData>
            </a:graphic>
          </wp:inline>
        </w:drawing>
      </w:r>
    </w:p>
    <w:p w14:paraId="3CBE1BD9">
      <w:pPr>
        <w:spacing w:after="120"/>
      </w:pPr>
    </w:p>
    <w:p w14:paraId="04132DB8">
      <w:pPr>
        <w:spacing w:before="120" w:after="120"/>
      </w:pPr>
      <w:r>
        <w:rPr>
          <w:rFonts w:ascii="宋体" w:hAnsi="宋体" w:eastAsia="宋体"/>
          <w:b/>
          <w:sz w:val="24"/>
        </w:rPr>
        <w:t>图片来源</w:t>
      </w:r>
    </w:p>
    <w:p w14:paraId="2E6CA63D">
      <w:pPr>
        <w:spacing w:after="60" w:line="240" w:lineRule="auto"/>
        <w:jc w:val="left"/>
      </w:pPr>
      <w:r>
        <w:rPr>
          <w:rFonts w:ascii="宋体" w:hAnsi="宋体" w:eastAsia="宋体"/>
          <w:sz w:val="18"/>
        </w:rPr>
        <w:t>[1] Hugovanmeijeren. Cern datacenter.jpg[EB/OL]. Wikimedia Commons, 2010-03-12[2026-06-18]. https://commons.wikimedia.org/wiki/File:Cern_datacenter.jpg.</w:t>
      </w:r>
    </w:p>
    <w:p w14:paraId="767F1CC4">
      <w:pPr>
        <w:spacing w:after="60" w:line="240" w:lineRule="auto"/>
        <w:jc w:val="left"/>
      </w:pPr>
      <w:r>
        <w:rPr>
          <w:rFonts w:ascii="宋体" w:hAnsi="宋体" w:eastAsia="宋体"/>
          <w:sz w:val="18"/>
        </w:rPr>
        <w:t>[</w:t>
      </w:r>
      <w:r>
        <w:rPr>
          <w:rFonts w:hint="eastAsia" w:ascii="宋体" w:hAnsi="宋体" w:eastAsia="宋体"/>
          <w:sz w:val="18"/>
          <w:lang w:val="en-US" w:eastAsia="zh-CN"/>
        </w:rPr>
        <w:t>2</w:t>
      </w:r>
      <w:r>
        <w:rPr>
          <w:rFonts w:ascii="宋体" w:hAnsi="宋体" w:eastAsia="宋体"/>
          <w:sz w:val="18"/>
        </w:rPr>
        <w:t>] NASA Spinoff. Cutting-Edge Computing Goes Spaceborne[EB/OL]. NASA Spinoff, 2025-02-11[2026-06-18]. https://spinoff.nasa.gov/Cutting-Edge_Computing_Goes_Spaceborne. Image credit: Hewlett Packard Enterprise Co.</w:t>
      </w:r>
    </w:p>
    <w:p w14:paraId="0F5D6909">
      <w:pPr>
        <w:spacing w:after="60" w:line="240" w:lineRule="auto"/>
        <w:jc w:val="left"/>
      </w:pPr>
      <w:r>
        <w:rPr>
          <w:rFonts w:ascii="宋体" w:hAnsi="宋体" w:eastAsia="宋体"/>
          <w:sz w:val="18"/>
        </w:rPr>
        <w:t>[</w:t>
      </w:r>
      <w:r>
        <w:rPr>
          <w:rFonts w:hint="eastAsia" w:ascii="宋体" w:hAnsi="宋体" w:eastAsia="宋体"/>
          <w:sz w:val="18"/>
          <w:lang w:val="en-US" w:eastAsia="zh-CN"/>
        </w:rPr>
        <w:t>3</w:t>
      </w:r>
      <w:r>
        <w:rPr>
          <w:rFonts w:ascii="宋体" w:hAnsi="宋体" w:eastAsia="宋体"/>
          <w:sz w:val="18"/>
        </w:rPr>
        <w:t>] Thales Alenia Space. Thales Alenia Space reveals results of ASCEND feasibility study on space data centers[EB/OL]. Thales Alenia Space, 2024-06-27[2026-06-18]. https://www.thalesaleniaspace.com/en/press-releases/thales-alenia-space-reveals-results-ascend-feasibility-study-space-data-centers-0. Image credit: © Thales Alenia Space/Master Image Programmes.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7A52FC"/>
    <w:rsid w:val="125A5A9B"/>
    <w:rsid w:val="1716633D"/>
    <w:rsid w:val="1CC45C27"/>
    <w:rsid w:val="239A44F1"/>
    <w:rsid w:val="2B980D20"/>
    <w:rsid w:val="497F612B"/>
    <w:rsid w:val="4E43055C"/>
    <w:rsid w:val="504037B3"/>
    <w:rsid w:val="5CC62137"/>
    <w:rsid w:val="675D375E"/>
    <w:rsid w:val="6E11552E"/>
    <w:rsid w:val="737A52FC"/>
    <w:rsid w:val="7AE01199"/>
    <w:rsid w:val="7D5E1E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1229</Words>
  <Characters>1272</Characters>
  <Lines>0</Lines>
  <Paragraphs>0</Paragraphs>
  <TotalTime>3334</TotalTime>
  <ScaleCrop>false</ScaleCrop>
  <LinksUpToDate>false</LinksUpToDate>
  <CharactersWithSpaces>1279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2026-06-06T09:40:00Z</dcterms:created>
  <dc:creator>WPS_1688525439</dc:creator>
  <cp:lastModifiedBy>WPS_1688525439</cp:lastModifiedBy>
  <dcterms:modified xsi:type="dcterms:W3CDTF">2026-06-22T10:33:30Z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66B2A3E826C34507BFE9BB12CCBC0995_11</vt:lpwstr>
  </property>
  <property fmtid="{D5CDD505-2E9C-101B-9397-08002B2CF9AE}" pid="4" name="KSOTemplateDocerSaveRecord">
    <vt:lpwstr>eyJoZGlkIjoiZDg3NTZmYThmMzVmMGE4Y2IwZmNmNDA4ODRlYzIzZTciLCJ1c2VySWQiOiIxNTExMzQwNTY4In0=</vt:lpwstr>
  </property>
</Properties>
</file>