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5FEB2A4C" w:rsidR="00061870" w:rsidRPr="00947AC3" w:rsidRDefault="00061870">
      <w:pPr>
        <w:rPr>
          <w:rFonts w:ascii="Neo Sans Std" w:hAnsi="Neo Sans Std"/>
        </w:rPr>
      </w:pPr>
      <w:r w:rsidRPr="00947AC3">
        <w:rPr>
          <w:rFonts w:ascii="Neo Sans Std" w:hAnsi="Neo Sans Std"/>
        </w:rPr>
        <w:t xml:space="preserve">IT and Database Consulting for </w:t>
      </w:r>
      <w:proofErr w:type="spellStart"/>
      <w:proofErr w:type="gramStart"/>
      <w:r w:rsidR="001857C2">
        <w:rPr>
          <w:rFonts w:ascii="Neo Sans Std" w:hAnsi="Neo Sans Std"/>
        </w:rPr>
        <w:t>SolarCity</w:t>
      </w:r>
      <w:proofErr w:type="spellEnd"/>
      <w:r w:rsidR="001857C2">
        <w:rPr>
          <w:rFonts w:ascii="Neo Sans Std" w:hAnsi="Neo Sans Std"/>
        </w:rPr>
        <w:t xml:space="preserve"> </w:t>
      </w:r>
      <w:r w:rsidR="0010426D">
        <w:rPr>
          <w:rFonts w:ascii="Neo Sans Std" w:hAnsi="Neo Sans Std"/>
        </w:rPr>
        <w:t>:</w:t>
      </w:r>
      <w:proofErr w:type="gramEnd"/>
      <w:r w:rsidR="0010426D">
        <w:rPr>
          <w:rFonts w:ascii="Neo Sans Std" w:hAnsi="Neo Sans Std"/>
        </w:rPr>
        <w:t xml:space="preserve"> America’s #1 source for solar power</w:t>
      </w:r>
    </w:p>
    <w:p w14:paraId="20245D16" w14:textId="777777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AD03A9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4.25pt" to="54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4CE97C9F" w14:textId="692D8613" w:rsidR="00061870" w:rsidRDefault="001205C1" w:rsidP="00061870">
      <w:pPr>
        <w:ind w:right="1530"/>
        <w:rPr>
          <w:rFonts w:ascii="Neo Sans Std" w:hAnsi="Neo Sans Std"/>
          <w:sz w:val="22"/>
          <w:szCs w:val="22"/>
        </w:rPr>
      </w:pPr>
      <w:proofErr w:type="spellStart"/>
      <w:r>
        <w:rPr>
          <w:rFonts w:ascii="Neo Sans Std" w:hAnsi="Neo Sans Std"/>
          <w:sz w:val="22"/>
          <w:szCs w:val="22"/>
        </w:rPr>
        <w:t>SolarCity</w:t>
      </w:r>
      <w:proofErr w:type="spellEnd"/>
      <w:r>
        <w:rPr>
          <w:rFonts w:ascii="Neo Sans Std" w:hAnsi="Neo Sans Std"/>
          <w:sz w:val="22"/>
          <w:szCs w:val="22"/>
        </w:rPr>
        <w:t xml:space="preserve"> is America’s #1 provider of solar power with over 217,000 customers and counting. </w:t>
      </w:r>
    </w:p>
    <w:p w14:paraId="127D749A" w14:textId="77777777" w:rsidR="001205C1" w:rsidRDefault="001205C1" w:rsidP="00061870">
      <w:pPr>
        <w:ind w:right="1530"/>
        <w:rPr>
          <w:rFonts w:ascii="Neo Sans Std" w:hAnsi="Neo Sans Std"/>
          <w:sz w:val="22"/>
          <w:szCs w:val="22"/>
        </w:rPr>
      </w:pPr>
    </w:p>
    <w:p w14:paraId="2DB812EF" w14:textId="77DFAA50" w:rsidR="001205C1" w:rsidRDefault="001205C1" w:rsidP="00061870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 xml:space="preserve">Recognizing EndPointConsulting (EPC) as a leader in high performance database design and development, engaged them to optimize their services to keep up with their rapid growth. </w:t>
      </w:r>
    </w:p>
    <w:p w14:paraId="30A71EC2" w14:textId="02B126B1" w:rsidR="00D11259" w:rsidRPr="00DF785A" w:rsidRDefault="00D11259" w:rsidP="00061870">
      <w:pPr>
        <w:ind w:right="1530"/>
        <w:rPr>
          <w:rFonts w:ascii="Neo Sans Std" w:hAnsi="Neo Sans Std"/>
        </w:rPr>
      </w:pPr>
    </w:p>
    <w:p w14:paraId="1653BC4A" w14:textId="61260826" w:rsidR="00061870" w:rsidRPr="00947AC3" w:rsidRDefault="001205C1" w:rsidP="00061870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6EF40FFF" wp14:editId="6A0CC904">
            <wp:simplePos x="0" y="0"/>
            <wp:positionH relativeFrom="column">
              <wp:posOffset>2853815</wp:posOffset>
            </wp:positionH>
            <wp:positionV relativeFrom="paragraph">
              <wp:posOffset>-2540</wp:posOffset>
            </wp:positionV>
            <wp:extent cx="3204085" cy="1196340"/>
            <wp:effectExtent l="0" t="0" r="0" b="0"/>
            <wp:wrapNone/>
            <wp:docPr id="6" name="Picture 6" descr="Macintosh HD:Users:michaeldavis:Dropbox:Business:Odesk Projects:Case Studies:SolarCity:Untitled design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chaeldavis:Dropbox:Business:Odesk Projects:Case Studies:SolarCity:Untitled design: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t="32362" r="19260" b="30879"/>
                    <a:stretch/>
                  </pic:blipFill>
                  <pic:spPr bwMode="auto">
                    <a:xfrm>
                      <a:off x="0" y="0"/>
                      <a:ext cx="320408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425">
        <w:rPr>
          <w:rFonts w:ascii="Neo Sans Std" w:hAnsi="Neo Sans Std"/>
          <w:sz w:val="22"/>
          <w:szCs w:val="22"/>
        </w:rPr>
        <w:t>Services</w:t>
      </w:r>
      <w:r w:rsidR="00061870" w:rsidRPr="00947AC3">
        <w:rPr>
          <w:rFonts w:ascii="Neo Sans Std" w:hAnsi="Neo Sans Std"/>
          <w:sz w:val="22"/>
          <w:szCs w:val="22"/>
        </w:rPr>
        <w:t xml:space="preserve"> involved:</w:t>
      </w:r>
    </w:p>
    <w:p w14:paraId="11CAE35E" w14:textId="31F7646C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3D568AD3" w:rsidR="00061870" w:rsidRPr="00283425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45C53690" w14:textId="3FDFCBD8" w:rsidR="00283425" w:rsidRPr="00283425" w:rsidRDefault="00283425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Database Administration</w:t>
      </w:r>
    </w:p>
    <w:p w14:paraId="39CB1B36" w14:textId="079C0686" w:rsidR="00283425" w:rsidRPr="00947AC3" w:rsidRDefault="00283425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General IT Consulting</w:t>
      </w:r>
    </w:p>
    <w:p w14:paraId="392E26D6" w14:textId="676E6871" w:rsidR="00061870" w:rsidRPr="00947AC3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30D63E2B" w14:textId="7069E24E" w:rsidR="00583F20" w:rsidRPr="00947AC3" w:rsidRDefault="00583F20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</w:p>
    <w:p w14:paraId="0A248710" w14:textId="576BDE40" w:rsidR="00D11259" w:rsidRPr="00F908B2" w:rsidRDefault="002026F3" w:rsidP="00F908B2">
      <w:pPr>
        <w:ind w:right="270"/>
        <w:rPr>
          <w:rFonts w:ascii="Neo Sans Std" w:hAnsi="Neo Sans Std"/>
          <w:color w:val="404040"/>
        </w:rPr>
      </w:pPr>
      <w:r>
        <w:rPr>
          <w:rFonts w:ascii="Neo Sans Std" w:hAnsi="Neo Sans Std"/>
          <w:color w:val="404040"/>
        </w:rPr>
        <w:t>The database services m</w:t>
      </w:r>
      <w:r w:rsidR="00F908B2">
        <w:rPr>
          <w:rFonts w:ascii="Neo Sans Std" w:hAnsi="Neo Sans Std"/>
          <w:color w:val="404040"/>
        </w:rPr>
        <w:t>anager for Solar City was faced with a shortage of database talent and reached out to EPC for help. EPC quickly allocated a senior SQL Server Engineer to the project to help streamline database processes.</w:t>
      </w:r>
    </w:p>
    <w:p w14:paraId="365E15E7" w14:textId="77777777" w:rsidR="00D11259" w:rsidRPr="00947AC3" w:rsidRDefault="00D11259" w:rsidP="00061870">
      <w:pPr>
        <w:ind w:right="1530"/>
        <w:rPr>
          <w:rFonts w:ascii="Neo Sans Std" w:hAnsi="Neo Sans Std"/>
        </w:rPr>
      </w:pPr>
    </w:p>
    <w:p w14:paraId="50B0DE5B" w14:textId="2C4F291E" w:rsidR="00F908B2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</w:p>
    <w:p w14:paraId="55291662" w14:textId="77777777" w:rsidR="00F908B2" w:rsidRDefault="00F908B2" w:rsidP="00D11259">
      <w:pPr>
        <w:ind w:right="270"/>
        <w:rPr>
          <w:rFonts w:ascii="Neo Sans Std" w:hAnsi="Neo Sans Std"/>
          <w:color w:val="404040"/>
        </w:rPr>
      </w:pPr>
    </w:p>
    <w:p w14:paraId="5A1F9A1D" w14:textId="302FD80C" w:rsidR="00D11259" w:rsidRDefault="00F908B2" w:rsidP="00D11259">
      <w:pPr>
        <w:ind w:right="270"/>
        <w:rPr>
          <w:rFonts w:ascii="Neo Sans Std" w:hAnsi="Neo Sans Std"/>
          <w:color w:val="404040"/>
        </w:rPr>
      </w:pPr>
      <w:r>
        <w:rPr>
          <w:rFonts w:ascii="Neo Sans Std" w:hAnsi="Neo Sans Std"/>
          <w:color w:val="404040"/>
        </w:rPr>
        <w:t xml:space="preserve">EPC was able to provide a senior database engineer onsite within a week of initial call at a rate well below the market rates currently being charged in Silicon Valley. EPC continued work on the project for several months </w:t>
      </w:r>
      <w:r w:rsidR="002026F3">
        <w:rPr>
          <w:rFonts w:ascii="Neo Sans Std" w:hAnsi="Neo Sans Std"/>
          <w:color w:val="404040"/>
        </w:rPr>
        <w:t>while allowing</w:t>
      </w:r>
      <w:r>
        <w:rPr>
          <w:rFonts w:ascii="Neo Sans Std" w:hAnsi="Neo Sans Std"/>
          <w:color w:val="404040"/>
        </w:rPr>
        <w:t xml:space="preserve"> the client to build up their own internal database staff.</w:t>
      </w:r>
    </w:p>
    <w:p w14:paraId="244C9AED" w14:textId="77777777" w:rsidR="00F908B2" w:rsidRPr="00947AC3" w:rsidRDefault="00F908B2" w:rsidP="00D11259">
      <w:pPr>
        <w:ind w:right="270"/>
        <w:rPr>
          <w:rFonts w:ascii="Neo Sans Std" w:hAnsi="Neo Sans Std"/>
          <w:color w:val="404040"/>
        </w:rPr>
      </w:pPr>
    </w:p>
    <w:p w14:paraId="0D9581D6" w14:textId="71BA1BFF" w:rsidR="002026F3" w:rsidRDefault="00D11259" w:rsidP="00F908B2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0BD10BC3" w14:textId="77777777" w:rsidR="002026F3" w:rsidRPr="002026F3" w:rsidRDefault="002026F3" w:rsidP="00F908B2">
      <w:pPr>
        <w:ind w:right="270"/>
        <w:rPr>
          <w:rFonts w:ascii="Neo Sans Std" w:hAnsi="Neo Sans Std"/>
          <w:color w:val="00B0F0"/>
          <w:sz w:val="28"/>
          <w:szCs w:val="28"/>
        </w:rPr>
      </w:pPr>
    </w:p>
    <w:p w14:paraId="3BA2A524" w14:textId="49C3A5BD" w:rsidR="002026F3" w:rsidRDefault="002026F3" w:rsidP="00F908B2">
      <w:pPr>
        <w:ind w:right="270"/>
        <w:rPr>
          <w:rFonts w:ascii="Neo Sans Std" w:hAnsi="Neo Sans Std"/>
          <w:color w:val="404040"/>
        </w:rPr>
      </w:pPr>
      <w:r>
        <w:rPr>
          <w:rFonts w:ascii="Neo Sans Std" w:hAnsi="Neo Sans Std"/>
          <w:color w:val="404040"/>
        </w:rPr>
        <w:t xml:space="preserve">EPC was able to serve as a crutch in a critical moment in Solar City’s growth and ensure they did not miss a beat while growing their internal team.   </w:t>
      </w:r>
    </w:p>
    <w:p w14:paraId="6E6DFE7D" w14:textId="77777777" w:rsidR="00F908B2" w:rsidRPr="00947AC3" w:rsidRDefault="00F908B2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bookmarkStart w:id="0" w:name="_GoBack"/>
      <w:bookmarkEnd w:id="0"/>
    </w:p>
    <w:sectPr w:rsidR="00F908B2" w:rsidRPr="00947AC3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61870"/>
    <w:rsid w:val="0010426D"/>
    <w:rsid w:val="001205C1"/>
    <w:rsid w:val="00142176"/>
    <w:rsid w:val="00172308"/>
    <w:rsid w:val="001857C2"/>
    <w:rsid w:val="002026F3"/>
    <w:rsid w:val="00283425"/>
    <w:rsid w:val="002F5F9C"/>
    <w:rsid w:val="00316C96"/>
    <w:rsid w:val="00394AA5"/>
    <w:rsid w:val="003B5D1E"/>
    <w:rsid w:val="00544CC7"/>
    <w:rsid w:val="00575C1B"/>
    <w:rsid w:val="00583F20"/>
    <w:rsid w:val="005D01CE"/>
    <w:rsid w:val="006141F7"/>
    <w:rsid w:val="0070352B"/>
    <w:rsid w:val="007963B4"/>
    <w:rsid w:val="008401D8"/>
    <w:rsid w:val="00870611"/>
    <w:rsid w:val="008A51CD"/>
    <w:rsid w:val="008D6A27"/>
    <w:rsid w:val="00946431"/>
    <w:rsid w:val="00947AC3"/>
    <w:rsid w:val="009A1611"/>
    <w:rsid w:val="00A708A2"/>
    <w:rsid w:val="00AD26ED"/>
    <w:rsid w:val="00B2423E"/>
    <w:rsid w:val="00BC3D83"/>
    <w:rsid w:val="00C15F8C"/>
    <w:rsid w:val="00D11259"/>
    <w:rsid w:val="00D751DA"/>
    <w:rsid w:val="00D9036B"/>
    <w:rsid w:val="00DB2337"/>
    <w:rsid w:val="00DF785A"/>
    <w:rsid w:val="00E45315"/>
    <w:rsid w:val="00F6640D"/>
    <w:rsid w:val="00F908B2"/>
    <w:rsid w:val="00FB2F91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1076</Characters>
  <Application>Microsoft Macintosh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3</cp:revision>
  <dcterms:created xsi:type="dcterms:W3CDTF">2015-06-12T19:01:00Z</dcterms:created>
  <dcterms:modified xsi:type="dcterms:W3CDTF">2015-06-12T19:06:00Z</dcterms:modified>
</cp:coreProperties>
</file>