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center" w:pos="4680" w:leader="none"/>
          <w:tab w:val="left" w:pos="6840" w:leader="none"/>
        </w:tabs>
        <w:spacing w:before="0" w:after="0" w:line="240"/>
        <w:ind w:right="0" w:left="5760" w:hanging="709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keepNext w:val="true"/>
        <w:tabs>
          <w:tab w:val="left" w:pos="284" w:leader="none"/>
        </w:tabs>
        <w:spacing w:before="240" w:after="240" w:line="240"/>
        <w:ind w:right="0" w:left="0" w:firstLine="0"/>
        <w:jc w:val="both"/>
        <w:rPr>
          <w:rFonts w:ascii="Verdana" w:hAnsi="Verdana" w:cs="Verdana" w:eastAsia="Verdana"/>
          <w:color w:val="FFFFFF"/>
          <w:spacing w:val="0"/>
          <w:position w:val="0"/>
          <w:sz w:val="24"/>
          <w:shd w:fill="000000" w:val="clear"/>
        </w:rPr>
      </w:pPr>
      <w:r>
        <w:rPr>
          <w:rFonts w:ascii="Verdana" w:hAnsi="Verdana" w:cs="Verdana" w:eastAsia="Verdana"/>
          <w:b/>
          <w:color w:val="004DBB"/>
          <w:spacing w:val="0"/>
          <w:position w:val="0"/>
          <w:sz w:val="24"/>
          <w:shd w:fill="auto" w:val="clear"/>
        </w:rPr>
        <w:t xml:space="preserve">Technical details</w:t>
      </w:r>
    </w:p>
    <w:p>
      <w:pPr>
        <w:keepNext w:val="true"/>
        <w:numPr>
          <w:ilvl w:val="0"/>
          <w:numId w:val="3"/>
        </w:numPr>
        <w:spacing w:before="240" w:after="240" w:line="240"/>
        <w:ind w:right="0" w:left="709" w:hanging="709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Overview of BRM System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BRM is a modern .Net Core (.Net 9) Server Application. 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The web pages uses Bootstrap 5 css and does not have any further libraries or third party component dependencies. 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  <w:t xml:space="preserve">Using .Net Core Hosting Bundle for deployment to use Windows Authentication otherwise the App is platform independent.</w:t>
      </w:r>
    </w:p>
    <w:p>
      <w:pPr>
        <w:numPr>
          <w:ilvl w:val="0"/>
          <w:numId w:val="3"/>
        </w:numPr>
        <w:spacing w:before="120" w:after="120" w:line="360"/>
        <w:ind w:right="0" w:left="36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BRM Security is controlled by Active Directory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3. Main Projects &amp; Components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Blazor UI Projects</w:t>
      </w:r>
    </w:p>
    <w:p>
      <w:pPr>
        <w:numPr>
          <w:ilvl w:val="0"/>
          <w:numId w:val="6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Sassa.Brm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Main Blazor Server app, user interface, navigation, and business logic.</w:t>
      </w:r>
    </w:p>
    <w:p>
      <w:pPr>
        <w:numPr>
          <w:ilvl w:val="0"/>
          <w:numId w:val="6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Brm.Fluent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UI components, dialogs, and additional Blazor features.</w:t>
      </w:r>
    </w:p>
    <w:p>
      <w:pPr>
        <w:numPr>
          <w:ilvl w:val="0"/>
          <w:numId w:val="6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Sassa.Admin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Admin UI for office and document management.</w:t>
      </w:r>
    </w:p>
    <w:p>
      <w:pPr>
        <w:numPr>
          <w:ilvl w:val="0"/>
          <w:numId w:val="6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Sassa.Audit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Access to Legacy systems datasets (MIS,EMIS,TDW)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API Layer</w:t>
      </w:r>
    </w:p>
    <w:p>
      <w:pPr>
        <w:numPr>
          <w:ilvl w:val="0"/>
          <w:numId w:val="8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Sassa.Brm.Api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ASP.NET Core Web API, exposes endpoints for Fasttrack, Application, Scan, and other controllers.</w:t>
      </w:r>
    </w:p>
    <w:p>
      <w:pPr>
        <w:numPr>
          <w:ilvl w:val="0"/>
          <w:numId w:val="8"/>
        </w:numPr>
        <w:spacing w:before="150" w:after="15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Controllers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FasttrackController, ApplicationController, ScanController, etc.</w:t>
      </w:r>
    </w:p>
    <w:p>
      <w:pPr>
        <w:numPr>
          <w:ilvl w:val="0"/>
          <w:numId w:val="8"/>
        </w:numPr>
        <w:spacing w:before="150" w:after="15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FasttrackService, ApplicationService, ActivityService, SharedFolderService, etc.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Common Services</w:t>
      </w:r>
    </w:p>
    <w:p>
      <w:pPr>
        <w:numPr>
          <w:ilvl w:val="0"/>
          <w:numId w:val="1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Sassa.Brm.Common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Shared logic, helpers, authentication, session management, email, and static data.</w:t>
      </w:r>
    </w:p>
    <w:p>
      <w:pPr>
        <w:numPr>
          <w:ilvl w:val="0"/>
          <w:numId w:val="11"/>
        </w:numPr>
        <w:spacing w:before="150" w:after="15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Helpers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Security, BulkPrint, WindowsAuthenticationStateProvider, etc.</w:t>
      </w:r>
    </w:p>
    <w:p>
      <w:pPr>
        <w:numPr>
          <w:ilvl w:val="0"/>
          <w:numId w:val="11"/>
        </w:numPr>
        <w:spacing w:before="150" w:after="15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StaticService, SessionService, EmailClient, MailMessages, UserSettings.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External/Supporting Services</w:t>
      </w:r>
    </w:p>
    <w:p>
      <w:pPr>
        <w:numPr>
          <w:ilvl w:val="0"/>
          <w:numId w:val="14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Sassa.CsService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Content Server integration.</w:t>
      </w:r>
    </w:p>
    <w:p>
      <w:pPr>
        <w:numPr>
          <w:ilvl w:val="0"/>
          <w:numId w:val="14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Sassa.Socpen.Data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Socpen data access and context.</w:t>
      </w:r>
    </w:p>
    <w:p>
      <w:pPr>
        <w:numPr>
          <w:ilvl w:val="0"/>
          <w:numId w:val="14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Sassa.Audit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Audit and reporting services.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Database</w:t>
      </w:r>
    </w:p>
    <w:p>
      <w:pPr>
        <w:numPr>
          <w:ilvl w:val="0"/>
          <w:numId w:val="16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Oracle Database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Data storage for BRM, Socpen, and related entities.</w:t>
      </w:r>
    </w:p>
    <w:p>
      <w:pPr>
        <w:numPr>
          <w:ilvl w:val="0"/>
          <w:numId w:val="16"/>
        </w:numPr>
        <w:spacing w:before="150" w:after="150" w:line="240"/>
        <w:ind w:right="0" w:left="144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Accessed via Entity Framework Core (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ModelContext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SocpenContext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4. API Endpoints – Detailed Flow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4.1 Fasttrack Endpoint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Route: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[POST] /Fasttrack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Controller: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FasttrackController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FasttrackService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Flow: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Receives a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FasttrackScan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object.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Sets scan folder.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Checks for the existence of the expected PDF file.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Loads and validates coversheet data, builds a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DcFile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object.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Validates business rules (ID, dates, grant type, etc.).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Checks for a matching Socpen record.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Adds or updates the BRM record in the database.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Updates claim number in LoService.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Updates Socpen record with BRM info.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Renames and moves the PDF to the processed folder.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(Optional) Uploads to Content Server.</w:t>
      </w:r>
    </w:p>
    <w:p>
      <w:pPr>
        <w:numPr>
          <w:ilvl w:val="0"/>
          <w:numId w:val="1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Returns success or error response.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4.2 Application Endpoint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Route: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[POST] /Application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Controller: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ApplicationController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ApplicationService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Flow: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Receives an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ApplicationRequest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or similar DTO.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Validates input (required fields, formats).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Loads or creates a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DcFile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or related entity.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Applies business rules (e.g., grant type, applicant status).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Saves or updates the application record in the database.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May trigger additional logic (e.g., notifications, audit logging).</w:t>
      </w:r>
    </w:p>
    <w:p>
      <w:pPr>
        <w:numPr>
          <w:ilvl w:val="0"/>
          <w:numId w:val="2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Returns the created/updated application or error details.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4.3 Scan Endpoint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Route: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[POST] /Scan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Controller: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ScanController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ScanService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Flow:</w:t>
      </w:r>
    </w:p>
    <w:p>
      <w:pPr>
        <w:numPr>
          <w:ilvl w:val="0"/>
          <w:numId w:val="2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Receives a scan request (e.g., barcode, applicant info).</w:t>
      </w:r>
    </w:p>
    <w:p>
      <w:pPr>
        <w:numPr>
          <w:ilvl w:val="0"/>
          <w:numId w:val="2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Validates scan data.</w:t>
      </w:r>
    </w:p>
    <w:p>
      <w:pPr>
        <w:numPr>
          <w:ilvl w:val="0"/>
          <w:numId w:val="2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Locates the corresponding file or record in the database.</w:t>
      </w:r>
    </w:p>
    <w:p>
      <w:pPr>
        <w:numPr>
          <w:ilvl w:val="0"/>
          <w:numId w:val="2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Updates scan status, timestamps, and metadata.</w:t>
      </w:r>
    </w:p>
    <w:p>
      <w:pPr>
        <w:numPr>
          <w:ilvl w:val="0"/>
          <w:numId w:val="2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May move or rename files in the scan folder.</w:t>
      </w:r>
    </w:p>
    <w:p>
      <w:pPr>
        <w:numPr>
          <w:ilvl w:val="0"/>
          <w:numId w:val="2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Returns scan result, status, or error.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4.4 Activity Endpoint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Route: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[GET/POST] /Activity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Controller: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ActivityController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ActivityService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Flow:</w:t>
      </w:r>
    </w:p>
    <w:p>
      <w:pPr>
        <w:numPr>
          <w:ilvl w:val="0"/>
          <w:numId w:val="2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Receives activity requests (e.g., user actions, audit events).</w:t>
      </w:r>
    </w:p>
    <w:p>
      <w:pPr>
        <w:numPr>
          <w:ilvl w:val="0"/>
          <w:numId w:val="2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Validates activity data.</w:t>
      </w:r>
    </w:p>
    <w:p>
      <w:pPr>
        <w:numPr>
          <w:ilvl w:val="0"/>
          <w:numId w:val="2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Logs activity in the database.</w:t>
      </w:r>
    </w:p>
    <w:p>
      <w:pPr>
        <w:numPr>
          <w:ilvl w:val="0"/>
          <w:numId w:val="2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May trigger notifications or further processing.</w:t>
      </w:r>
    </w:p>
    <w:p>
      <w:pPr>
        <w:numPr>
          <w:ilvl w:val="0"/>
          <w:numId w:val="2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Returns activity log or status.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4.5 Other Endpoints (Office, Document, Socpen)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Routes:</w:t>
      </w:r>
    </w:p>
    <w:p>
      <w:pPr>
        <w:numPr>
          <w:ilvl w:val="0"/>
          <w:numId w:val="2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[GET/POST] /Office</w:t>
      </w:r>
    </w:p>
    <w:p>
      <w:pPr>
        <w:numPr>
          <w:ilvl w:val="0"/>
          <w:numId w:val="2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[GET/POST] /Document</w:t>
      </w:r>
    </w:p>
    <w:p>
      <w:pPr>
        <w:numPr>
          <w:ilvl w:val="0"/>
          <w:numId w:val="2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[GET/POST] /Socpen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Controllers/Services:</w:t>
      </w:r>
    </w:p>
    <w:p>
      <w:pPr>
        <w:numPr>
          <w:ilvl w:val="0"/>
          <w:numId w:val="2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OfficeController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/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OfficeService</w:t>
      </w:r>
    </w:p>
    <w:p>
      <w:pPr>
        <w:numPr>
          <w:ilvl w:val="0"/>
          <w:numId w:val="2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DocumentController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/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DocumentService</w:t>
      </w:r>
    </w:p>
    <w:p>
      <w:pPr>
        <w:numPr>
          <w:ilvl w:val="0"/>
          <w:numId w:val="2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SocpenController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/ </w:t>
      </w: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SocpenService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Flow:</w:t>
      </w:r>
    </w:p>
    <w:p>
      <w:pPr>
        <w:numPr>
          <w:ilvl w:val="0"/>
          <w:numId w:val="3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Receive requests for office management, document operations, or Socpen data.</w:t>
      </w:r>
    </w:p>
    <w:p>
      <w:pPr>
        <w:numPr>
          <w:ilvl w:val="0"/>
          <w:numId w:val="3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Validate input and permissions.</w:t>
      </w:r>
    </w:p>
    <w:p>
      <w:pPr>
        <w:numPr>
          <w:ilvl w:val="0"/>
          <w:numId w:val="3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Perform CRUD operations on respective entities.</w:t>
      </w:r>
    </w:p>
    <w:p>
      <w:pPr>
        <w:numPr>
          <w:ilvl w:val="0"/>
          <w:numId w:val="3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Integrate with external systems (e.g., Content Server, Socpen).</w:t>
      </w:r>
    </w:p>
    <w:p>
      <w:pPr>
        <w:numPr>
          <w:ilvl w:val="0"/>
          <w:numId w:val="3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Return results, status, or errors.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5. Common Patterns Across Endpoints</w:t>
      </w:r>
    </w:p>
    <w:p>
      <w:pPr>
        <w:numPr>
          <w:ilvl w:val="0"/>
          <w:numId w:val="3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Validation: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All endpoints validate input data and business rules.</w:t>
      </w:r>
    </w:p>
    <w:p>
      <w:pPr>
        <w:numPr>
          <w:ilvl w:val="0"/>
          <w:numId w:val="3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Service Layer: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Controllers delegate business logic to services.</w:t>
      </w:r>
    </w:p>
    <w:p>
      <w:pPr>
        <w:numPr>
          <w:ilvl w:val="0"/>
          <w:numId w:val="3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Database Access: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Entity Framework Core is used for all CRUD operations.</w:t>
      </w:r>
    </w:p>
    <w:p>
      <w:pPr>
        <w:numPr>
          <w:ilvl w:val="0"/>
          <w:numId w:val="3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Error Handling: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Exceptions are caught, logged, and returned as error responses.</w:t>
      </w:r>
    </w:p>
    <w:p>
      <w:pPr>
        <w:numPr>
          <w:ilvl w:val="0"/>
          <w:numId w:val="3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Integration: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Endpoints may interact with file system, external APIs, or other services.</w:t>
      </w:r>
    </w:p>
    <w:p>
      <w:pPr>
        <w:numPr>
          <w:ilvl w:val="0"/>
          <w:numId w:val="3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Response: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Return standardized API responses (success, error, data).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6. Key Classes &amp; Data Models</w:t>
      </w:r>
    </w:p>
    <w:p>
      <w:pPr>
        <w:numPr>
          <w:ilvl w:val="0"/>
          <w:numId w:val="3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DcFile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Represents a BRM file record, including metadata, status, and links to Socpen.</w:t>
      </w:r>
    </w:p>
    <w:p>
      <w:pPr>
        <w:numPr>
          <w:ilvl w:val="0"/>
          <w:numId w:val="3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DcSocpen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Represents a Socpen record, linked by applicant and grant type.</w:t>
      </w:r>
    </w:p>
    <w:p>
      <w:pPr>
        <w:numPr>
          <w:ilvl w:val="0"/>
          <w:numId w:val="3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CustCoversheet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Data transfer object for coversheet information.</w:t>
      </w:r>
    </w:p>
    <w:p>
      <w:pPr>
        <w:numPr>
          <w:ilvl w:val="0"/>
          <w:numId w:val="3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FasttrackScan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Input model for Fasttrack API.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7. Configuration &amp; Environment</w:t>
      </w:r>
    </w:p>
    <w:p>
      <w:pPr>
        <w:numPr>
          <w:ilvl w:val="0"/>
          <w:numId w:val="3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appsettings.json / appsettings.Production.json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Stores connection strings, folder paths, service endpoints, and other settings.</w:t>
      </w:r>
    </w:p>
    <w:p>
      <w:pPr>
        <w:numPr>
          <w:ilvl w:val="0"/>
          <w:numId w:val="3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IWebHostEnvironment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Used to resolve physical paths for file operations.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8. Security &amp; Authentication</w:t>
      </w:r>
    </w:p>
    <w:p>
      <w:pPr>
        <w:numPr>
          <w:ilvl w:val="0"/>
          <w:numId w:val="3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Windows Authentication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Used for Blazor Server and API access.</w:t>
      </w:r>
    </w:p>
    <w:p>
      <w:pPr>
        <w:numPr>
          <w:ilvl w:val="0"/>
          <w:numId w:val="3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Role-based Authorization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Enforced in UI and API controllers.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9. Deployment &amp; Hosting</w:t>
      </w:r>
    </w:p>
    <w:p>
      <w:pPr>
        <w:numPr>
          <w:ilvl w:val="0"/>
          <w:numId w:val="4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Kestrel/HTTP.sys/IIS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Supported hosting models.</w:t>
      </w:r>
    </w:p>
    <w:p>
      <w:pPr>
        <w:numPr>
          <w:ilvl w:val="0"/>
          <w:numId w:val="41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Windows Service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API can be installed as a Windows Service for auto-start on boot.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10. Extensibility &amp; Integration</w:t>
      </w:r>
    </w:p>
    <w:p>
      <w:pPr>
        <w:numPr>
          <w:ilvl w:val="0"/>
          <w:numId w:val="4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Content Server (CSService)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Document management integration via SOAP/WCF.</w:t>
      </w:r>
    </w:p>
    <w:p>
      <w:pPr>
        <w:numPr>
          <w:ilvl w:val="0"/>
          <w:numId w:val="4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Email Notifications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SMTP settings and mail client for alerts and reports.</w:t>
      </w:r>
    </w:p>
    <w:p>
      <w:pPr>
        <w:numPr>
          <w:ilvl w:val="0"/>
          <w:numId w:val="43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External APIs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Socpen, audit, and other government systems.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11. Error Logging &amp; Monitoring</w:t>
      </w:r>
    </w:p>
    <w:p>
      <w:pPr>
        <w:numPr>
          <w:ilvl w:val="0"/>
          <w:numId w:val="4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Serilog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Used for error and event logging.</w:t>
      </w:r>
    </w:p>
    <w:p>
      <w:pPr>
        <w:numPr>
          <w:ilvl w:val="0"/>
          <w:numId w:val="45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Health Checks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: Exposed via Blazor UI and API endpoints.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12. Best Practices &amp; Recommendations</w:t>
      </w:r>
    </w:p>
    <w:p>
      <w:pPr>
        <w:numPr>
          <w:ilvl w:val="0"/>
          <w:numId w:val="4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Use Dependency Injection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for all services and data contexts.</w:t>
      </w:r>
    </w:p>
    <w:p>
      <w:pPr>
        <w:numPr>
          <w:ilvl w:val="0"/>
          <w:numId w:val="4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Validate all input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at API boundaries.</w:t>
      </w:r>
    </w:p>
    <w:p>
      <w:pPr>
        <w:numPr>
          <w:ilvl w:val="0"/>
          <w:numId w:val="4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Handle exceptions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and log errors for diagnostics.</w:t>
      </w:r>
    </w:p>
    <w:p>
      <w:pPr>
        <w:numPr>
          <w:ilvl w:val="0"/>
          <w:numId w:val="4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Secure sensitive configuration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(connection strings, credentials).</w:t>
      </w:r>
    </w:p>
    <w:p>
      <w:pPr>
        <w:numPr>
          <w:ilvl w:val="0"/>
          <w:numId w:val="47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  <w:t xml:space="preserve">Document all endpoints and models</w:t>
      </w: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 for maintainability.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13. References &amp; Further Reading</w:t>
      </w:r>
    </w:p>
    <w:p>
      <w:pPr>
        <w:numPr>
          <w:ilvl w:val="0"/>
          <w:numId w:val="4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ASP.NET Core Blazor Documentation</w:t>
      </w:r>
    </w:p>
    <w:p>
      <w:pPr>
        <w:numPr>
          <w:ilvl w:val="0"/>
          <w:numId w:val="4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Entity Framework Core Documentation</w:t>
      </w:r>
    </w:p>
    <w:p>
      <w:pPr>
        <w:numPr>
          <w:ilvl w:val="0"/>
          <w:numId w:val="4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Serilog Documentation</w:t>
      </w:r>
    </w:p>
    <w:p>
      <w:pPr>
        <w:numPr>
          <w:ilvl w:val="0"/>
          <w:numId w:val="49"/>
        </w:numPr>
        <w:spacing w:before="150" w:after="15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0"/>
          <w:u w:val="single"/>
          <w:shd w:fill="auto" w:val="clear"/>
        </w:rPr>
        <w:t xml:space="preserve">Windows Service Hosting</w:t>
      </w:r>
    </w:p>
    <w:p>
      <w:pPr>
        <w:spacing w:before="120" w:after="120" w:line="36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  <w:p>
      <w:pPr>
        <w:keepNext w:val="true"/>
        <w:spacing w:before="240" w:after="240" w:line="240"/>
        <w:ind w:right="0" w:left="0" w:firstLine="0"/>
        <w:jc w:val="both"/>
        <w:rPr>
          <w:rFonts w:ascii="Verdana" w:hAnsi="Verdana" w:cs="Verdana" w:eastAsia="Verdana"/>
          <w:b/>
          <w:color w:val="FFFFFF"/>
          <w:spacing w:val="0"/>
          <w:position w:val="0"/>
          <w:sz w:val="22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">
    <w:abstractNumId w:val="126"/>
  </w:num>
  <w:num w:numId="6">
    <w:abstractNumId w:val="120"/>
  </w:num>
  <w:num w:numId="8">
    <w:abstractNumId w:val="114"/>
  </w:num>
  <w:num w:numId="11">
    <w:abstractNumId w:val="108"/>
  </w:num>
  <w:num w:numId="14">
    <w:abstractNumId w:val="102"/>
  </w:num>
  <w:num w:numId="16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29">
    <w:abstractNumId w:val="60"/>
  </w:num>
  <w:num w:numId="31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1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