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25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Информационная</w:t>
      </w:r>
      <w:r>
        <w:t xml:space="preserve"> </w:t>
      </w:r>
      <w:r>
        <w:t xml:space="preserve">безопасность.</w:t>
      </w:r>
      <w:r>
        <w:t xml:space="preserve"> </w:t>
      </w: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Терентьев</w:t>
      </w:r>
      <w:r>
        <w:t xml:space="preserve"> </w:t>
      </w:r>
      <w:r>
        <w:t xml:space="preserve">Егор</w:t>
      </w:r>
      <w:r>
        <w:t xml:space="preserve"> </w:t>
      </w:r>
      <w:r>
        <w:t xml:space="preserve">Дмитриевич</w:t>
      </w:r>
      <w:r>
        <w:t xml:space="preserve"> </w:t>
      </w:r>
      <w:r>
        <w:t xml:space="preserve">1032192875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</w:t>
      </w:r>
      <w:r>
        <w:t xml:space="preserve"> </w:t>
      </w:r>
      <w:r>
        <w:t xml:space="preserve">настройки минимально необходимых для дальнейшей работы сервисов.</w:t>
      </w:r>
    </w:p>
    <w:bookmarkEnd w:id="20"/>
    <w:bookmarkStart w:id="13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Создайте новую виртуальную машину. Для этого в VirtualBox выберите</w:t>
      </w:r>
      <w:r>
        <w:t xml:space="preserve"> </w:t>
      </w:r>
      <w:r>
        <w:t xml:space="preserve">“</w:t>
      </w:r>
      <w:r>
        <w:t xml:space="preserve">Машина-&gt;Создать</w:t>
      </w:r>
      <w:r>
        <w:t xml:space="preserve">”</w:t>
      </w:r>
      <w:r>
        <w:t xml:space="preserve">.</w:t>
      </w:r>
      <w:r>
        <w:t xml:space="preserve"> </w:t>
      </w:r>
      <w:r>
        <w:t xml:space="preserve">Укажите имя виртуальной машины (ваш логин в дисплейном классе - edterentjev), тип операционной системы — Linux, RedHat fig. 1.</w:t>
      </w:r>
    </w:p>
    <w:p>
      <w:pPr>
        <w:pStyle w:val="CaptionedFigure"/>
      </w:pPr>
      <w:bookmarkStart w:id="24" w:name="fig:1"/>
      <w:r>
        <w:drawing>
          <wp:inline>
            <wp:extent cx="3840479" cy="3609473"/>
            <wp:effectExtent b="0" l="0" r="0" t="0"/>
            <wp:docPr descr="Figure 1: Окно «Имя машины и тип ОС»" title="" id="22" name="Picture"/>
            <a:graphic>
              <a:graphicData uri="http://schemas.openxmlformats.org/drawingml/2006/picture">
                <pic:pic>
                  <pic:nvPicPr>
                    <pic:cNvPr descr="pics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79" cy="3609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Окно «Имя машины и тип ОС»</w:t>
      </w:r>
    </w:p>
    <w:p>
      <w:pPr>
        <w:pStyle w:val="BodyText"/>
      </w:pPr>
      <w:r>
        <w:t xml:space="preserve">Укажите размер основной памяти виртуальной машины (fig. 2) — 4096 МБ (или большее число, кратное 1024 МБ, если позволяют технические характеристики вашего компьютера).</w:t>
      </w:r>
    </w:p>
    <w:p>
      <w:pPr>
        <w:pStyle w:val="CaptionedFigure"/>
      </w:pPr>
      <w:bookmarkStart w:id="28" w:name="fig:2"/>
      <w:r>
        <w:drawing>
          <wp:inline>
            <wp:extent cx="4052235" cy="3166711"/>
            <wp:effectExtent b="0" l="0" r="0" t="0"/>
            <wp:docPr descr="Figure 2: Окно «Размер основной памяти»" title="" id="26" name="Picture"/>
            <a:graphic>
              <a:graphicData uri="http://schemas.openxmlformats.org/drawingml/2006/picture">
                <pic:pic>
                  <pic:nvPicPr>
                    <pic:cNvPr descr="pics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35" cy="3166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Окно «Размер основной памяти»</w:t>
      </w:r>
    </w:p>
    <w:p>
      <w:pPr>
        <w:pStyle w:val="BodyText"/>
      </w:pPr>
      <w:r>
        <w:t xml:space="preserve">Задайте конфигурацию жёсткого диска — загрузочный,VDI (BirtualBox Disk Image), динамический виртуальный диск fig. 3-fig. 5.</w:t>
      </w:r>
    </w:p>
    <w:p>
      <w:pPr>
        <w:pStyle w:val="CaptionedFigure"/>
      </w:pPr>
      <w:bookmarkStart w:id="32" w:name="fig:3"/>
      <w:r>
        <w:drawing>
          <wp:inline>
            <wp:extent cx="3994484" cy="3301465"/>
            <wp:effectExtent b="0" l="0" r="0" t="0"/>
            <wp:docPr descr="Figure 3: Окно подключения или создания жёсткого диска на виртуальной машине" title="" id="30" name="Picture"/>
            <a:graphic>
              <a:graphicData uri="http://schemas.openxmlformats.org/drawingml/2006/picture">
                <pic:pic>
                  <pic:nvPicPr>
                    <pic:cNvPr descr="pics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84" cy="3301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Окно подключения или создания жёсткого диска на виртуальной машине</w:t>
      </w:r>
    </w:p>
    <w:p>
      <w:pPr>
        <w:pStyle w:val="CaptionedFigure"/>
      </w:pPr>
      <w:bookmarkStart w:id="36" w:name="fig:4"/>
      <w:r>
        <w:drawing>
          <wp:inline>
            <wp:extent cx="4928134" cy="3927107"/>
            <wp:effectExtent b="0" l="0" r="0" t="0"/>
            <wp:docPr descr="Figure 4: Окно определения типа подключения виртуального жёсткого диска" title="" id="34" name="Picture"/>
            <a:graphic>
              <a:graphicData uri="http://schemas.openxmlformats.org/drawingml/2006/picture">
                <pic:pic>
                  <pic:nvPicPr>
                    <pic:cNvPr descr="pics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134" cy="3927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Окно определения типа подключения виртуального жёсткого диска</w:t>
      </w:r>
    </w:p>
    <w:p>
      <w:pPr>
        <w:pStyle w:val="CaptionedFigure"/>
      </w:pPr>
      <w:bookmarkStart w:id="40" w:name="fig:5"/>
      <w:r>
        <w:drawing>
          <wp:inline>
            <wp:extent cx="4504623" cy="3715351"/>
            <wp:effectExtent b="0" l="0" r="0" t="0"/>
            <wp:docPr descr="Figure 5: Окно определения формата виртуального жёсткого диска" title="" id="38" name="Picture"/>
            <a:graphic>
              <a:graphicData uri="http://schemas.openxmlformats.org/drawingml/2006/picture">
                <pic:pic>
                  <pic:nvPicPr>
                    <pic:cNvPr descr="pics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623" cy="3715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Окно определения формата виртуального жёсткого диска</w:t>
      </w:r>
    </w:p>
    <w:p>
      <w:pPr>
        <w:pStyle w:val="BodyText"/>
      </w:pPr>
      <w:r>
        <w:t xml:space="preserve">Задайте размер диска — 40 ГБ fig. 6.</w:t>
      </w:r>
    </w:p>
    <w:p>
      <w:pPr>
        <w:pStyle w:val="CaptionedFigure"/>
      </w:pPr>
      <w:bookmarkStart w:id="44" w:name="fig:6"/>
      <w:r>
        <w:drawing>
          <wp:inline>
            <wp:extent cx="4543124" cy="3792353"/>
            <wp:effectExtent b="0" l="0" r="0" t="0"/>
            <wp:docPr descr="Figure 6: Окно определения размера виртуального динамического жёсткого диска и его расположения" title="" id="42" name="Picture"/>
            <a:graphic>
              <a:graphicData uri="http://schemas.openxmlformats.org/drawingml/2006/picture">
                <pic:pic>
                  <pic:nvPicPr>
                    <pic:cNvPr descr="pics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124" cy="3792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Окно определения размера виртуального динамического жёсткого диска и его расположения</w:t>
      </w:r>
    </w:p>
    <w:p>
      <w:pPr>
        <w:pStyle w:val="BodyText"/>
      </w:pPr>
      <w:r>
        <w:t xml:space="preserve">Выберите в VirtualBox для Вашей виртуальной машины</w:t>
      </w:r>
      <w:r>
        <w:t xml:space="preserve"> </w:t>
      </w:r>
      <w:r>
        <w:t xml:space="preserve">“</w:t>
      </w:r>
      <w:r>
        <w:t xml:space="preserve">Настройки -&gt; Носители</w:t>
      </w:r>
      <w:r>
        <w:t xml:space="preserve">”</w:t>
      </w:r>
      <w:r>
        <w:t xml:space="preserve">. Добавьте новый привод оптических дисков и выберите образ операционной системы, скачанный с официального сайта fig. 7.</w:t>
      </w:r>
    </w:p>
    <w:p>
      <w:pPr>
        <w:pStyle w:val="CaptionedFigure"/>
      </w:pPr>
      <w:bookmarkStart w:id="48" w:name="fig:7"/>
      <w:r>
        <w:drawing>
          <wp:inline>
            <wp:extent cx="5334000" cy="4026309"/>
            <wp:effectExtent b="0" l="0" r="0" t="0"/>
            <wp:docPr descr="Figure 7: Окно «Носители» виртуальной машины: подключение образа оптического диска" title="" id="46" name="Picture"/>
            <a:graphic>
              <a:graphicData uri="http://schemas.openxmlformats.org/drawingml/2006/picture">
                <pic:pic>
                  <pic:nvPicPr>
                    <pic:cNvPr descr="pics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6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Окно «Носители» виртуальной машины: подключение образа оптического диска</w:t>
      </w:r>
    </w:p>
    <w:p>
      <w:pPr>
        <w:pStyle w:val="BodyText"/>
      </w:pPr>
      <w:r>
        <w:t xml:space="preserve">Запустите виртуальную машину fig. 8, выберите язык интерфейса fig. 9 и перейдите к настройкам установки операционной системы fig. 10.</w:t>
      </w:r>
    </w:p>
    <w:p>
      <w:pPr>
        <w:pStyle w:val="CaptionedFigure"/>
      </w:pPr>
      <w:bookmarkStart w:id="52" w:name="fig:8"/>
      <w:r>
        <w:drawing>
          <wp:inline>
            <wp:extent cx="5332395" cy="4639376"/>
            <wp:effectExtent b="0" l="0" r="0" t="0"/>
            <wp:docPr descr="Figure 8: Запуск виртуальной машины" title="" id="50" name="Picture"/>
            <a:graphic>
              <a:graphicData uri="http://schemas.openxmlformats.org/drawingml/2006/picture">
                <pic:pic>
                  <pic:nvPicPr>
                    <pic:cNvPr descr="pics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395" cy="4639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Запуск виртуальной машины</w:t>
      </w:r>
    </w:p>
    <w:p>
      <w:pPr>
        <w:pStyle w:val="CaptionedFigure"/>
      </w:pPr>
      <w:bookmarkStart w:id="56" w:name="fig:9"/>
      <w:r>
        <w:drawing>
          <wp:inline>
            <wp:extent cx="5334000" cy="4547774"/>
            <wp:effectExtent b="0" l="0" r="0" t="0"/>
            <wp:docPr descr="Figure 9: Установка языка интерфейса ОС" title="" id="54" name="Picture"/>
            <a:graphic>
              <a:graphicData uri="http://schemas.openxmlformats.org/drawingml/2006/picture">
                <pic:pic>
                  <pic:nvPicPr>
                    <pic:cNvPr descr="pics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7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Установка языка интерфейса ОС</w:t>
      </w:r>
    </w:p>
    <w:p>
      <w:pPr>
        <w:pStyle w:val="CaptionedFigure"/>
      </w:pPr>
      <w:bookmarkStart w:id="60" w:name="fig:10"/>
      <w:r>
        <w:drawing>
          <wp:inline>
            <wp:extent cx="5334000" cy="4535450"/>
            <wp:effectExtent b="0" l="0" r="0" t="0"/>
            <wp:docPr descr="Figure 10: Окно настройки установки образа ОС" title="" id="58" name="Picture"/>
            <a:graphic>
              <a:graphicData uri="http://schemas.openxmlformats.org/drawingml/2006/picture">
                <pic:pic>
                  <pic:nvPicPr>
                    <pic:cNvPr descr="pics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10: Окно настройки установки образа ОС</w:t>
      </w:r>
    </w:p>
    <w:p>
      <w:pPr>
        <w:pStyle w:val="BodyText"/>
      </w:pPr>
      <w:r>
        <w:t xml:space="preserve">В разделе выбора программ укажите в качестве базового окружения Server with GUI , а в качестве дополнения — Development Tools fig. 11.</w:t>
      </w:r>
    </w:p>
    <w:p>
      <w:pPr>
        <w:pStyle w:val="CaptionedFigure"/>
      </w:pPr>
      <w:bookmarkStart w:id="64" w:name="fig:11"/>
      <w:r>
        <w:drawing>
          <wp:inline>
            <wp:extent cx="5334000" cy="4471939"/>
            <wp:effectExtent b="0" l="0" r="0" t="0"/>
            <wp:docPr descr="Figure 11: Окно настройки установки: выбор программ" title="" id="62" name="Picture"/>
            <a:graphic>
              <a:graphicData uri="http://schemas.openxmlformats.org/drawingml/2006/picture">
                <pic:pic>
                  <pic:nvPicPr>
                    <pic:cNvPr descr="pics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1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11: Окно настройки установки: выбор программ</w:t>
      </w:r>
    </w:p>
    <w:p>
      <w:pPr>
        <w:pStyle w:val="BodyText"/>
      </w:pPr>
      <w:r>
        <w:t xml:space="preserve">Отключите KDUMP (fig. 12.</w:t>
      </w:r>
    </w:p>
    <w:p>
      <w:pPr>
        <w:pStyle w:val="CaptionedFigure"/>
      </w:pPr>
      <w:bookmarkStart w:id="68" w:name="fig:12"/>
      <w:r>
        <w:drawing>
          <wp:inline>
            <wp:extent cx="5334000" cy="4521126"/>
            <wp:effectExtent b="0" l="0" r="0" t="0"/>
            <wp:docPr descr="Figure 12: Окно настройки установки: отключение KDUMP" title="" id="66" name="Picture"/>
            <a:graphic>
              <a:graphicData uri="http://schemas.openxmlformats.org/drawingml/2006/picture">
                <pic:pic>
                  <pic:nvPicPr>
                    <pic:cNvPr descr="pics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1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12: Окно настройки установки: отключение KDUMP</w:t>
      </w:r>
    </w:p>
    <w:p>
      <w:pPr>
        <w:pStyle w:val="BodyText"/>
      </w:pPr>
      <w:r>
        <w:t xml:space="preserve">Место установки ОС оставьте без изменения fig. 13.</w:t>
      </w:r>
    </w:p>
    <w:p>
      <w:pPr>
        <w:pStyle w:val="CaptionedFigure"/>
      </w:pPr>
      <w:bookmarkStart w:id="72" w:name="fig:13"/>
      <w:r>
        <w:drawing>
          <wp:inline>
            <wp:extent cx="5334000" cy="4448815"/>
            <wp:effectExtent b="0" l="0" r="0" t="0"/>
            <wp:docPr descr="Figure 13: Окно настройки установки: место установки" title="" id="70" name="Picture"/>
            <a:graphic>
              <a:graphicData uri="http://schemas.openxmlformats.org/drawingml/2006/picture">
                <pic:pic>
                  <pic:nvPicPr>
                    <pic:cNvPr descr="pics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8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13: Окно настройки установки: место установки</w:t>
      </w:r>
    </w:p>
    <w:p>
      <w:pPr>
        <w:pStyle w:val="BodyText"/>
      </w:pPr>
      <w:r>
        <w:t xml:space="preserve">Включите сетевое соединение и в качестве имени узла указываю edterentjev.localdomain fig. 14</w:t>
      </w:r>
    </w:p>
    <w:p>
      <w:pPr>
        <w:pStyle w:val="CaptionedFigure"/>
      </w:pPr>
      <w:bookmarkStart w:id="76" w:name="fig:14"/>
      <w:r>
        <w:drawing>
          <wp:inline>
            <wp:extent cx="5334000" cy="4536965"/>
            <wp:effectExtent b="0" l="0" r="0" t="0"/>
            <wp:docPr descr="Figure 14: Окно настройки установки: сеть и имя узла" title="" id="74" name="Picture"/>
            <a:graphic>
              <a:graphicData uri="http://schemas.openxmlformats.org/drawingml/2006/picture">
                <pic:pic>
                  <pic:nvPicPr>
                    <pic:cNvPr descr="pics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6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14: Окно настройки установки: сеть и имя узла</w:t>
      </w:r>
    </w:p>
    <w:p>
      <w:pPr>
        <w:pStyle w:val="BodyText"/>
      </w:pPr>
      <w:r>
        <w:t xml:space="preserve">Установите пароль для root fig. 15 и пользователя с правами администратора fig. 16.</w:t>
      </w:r>
    </w:p>
    <w:p>
      <w:pPr>
        <w:pStyle w:val="CaptionedFigure"/>
      </w:pPr>
      <w:bookmarkStart w:id="80" w:name="fig:15"/>
      <w:r>
        <w:drawing>
          <wp:inline>
            <wp:extent cx="5334000" cy="4439905"/>
            <wp:effectExtent b="0" l="0" r="0" t="0"/>
            <wp:docPr descr="Figure 15: Установка пароля для root" title="" id="78" name="Picture"/>
            <a:graphic>
              <a:graphicData uri="http://schemas.openxmlformats.org/drawingml/2006/picture">
                <pic:pic>
                  <pic:nvPicPr>
                    <pic:cNvPr descr="pics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9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15: Установка пароля для root</w:t>
      </w:r>
    </w:p>
    <w:p>
      <w:pPr>
        <w:pStyle w:val="CaptionedFigure"/>
      </w:pPr>
      <w:bookmarkStart w:id="84" w:name="fig:16"/>
      <w:r>
        <w:drawing>
          <wp:inline>
            <wp:extent cx="5334000" cy="4473181"/>
            <wp:effectExtent b="0" l="0" r="0" t="0"/>
            <wp:docPr descr="Figure 16: Установка пароля для пользователя с правами администратора" title="" id="82" name="Picture"/>
            <a:graphic>
              <a:graphicData uri="http://schemas.openxmlformats.org/drawingml/2006/picture">
                <pic:pic>
                  <pic:nvPicPr>
                    <pic:cNvPr descr="pics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3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16: Установка пароля для пользователя с правами администратора</w:t>
      </w:r>
    </w:p>
    <w:p>
      <w:pPr>
        <w:pStyle w:val="BodyText"/>
      </w:pPr>
      <w:r>
        <w:t xml:space="preserve">Войдите в ОС под заданной вами при установке учётной записью. В меню</w:t>
      </w:r>
      <w:r>
        <w:t xml:space="preserve"> </w:t>
      </w:r>
      <w:r>
        <w:t xml:space="preserve">Устройства виртуальной машины подключите образ диска дополнений гостевой ОС fig. 17, при необходимости введите пароль пользователя rootвашей виртуальной ОС.</w:t>
      </w:r>
    </w:p>
    <w:p>
      <w:pPr>
        <w:pStyle w:val="CaptionedFigure"/>
      </w:pPr>
      <w:bookmarkStart w:id="88" w:name="fig:17"/>
      <w:r>
        <w:drawing>
          <wp:inline>
            <wp:extent cx="5334000" cy="4462985"/>
            <wp:effectExtent b="0" l="0" r="0" t="0"/>
            <wp:docPr descr="Figure 17: Подключение образа диска дополнений гостевой ОС" title="" id="86" name="Picture"/>
            <a:graphic>
              <a:graphicData uri="http://schemas.openxmlformats.org/drawingml/2006/picture">
                <pic:pic>
                  <pic:nvPicPr>
                    <pic:cNvPr descr="pics/18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2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17: Подключение образа диска дополнений гостевой ОС</w:t>
      </w:r>
    </w:p>
    <w:p>
      <w:pPr>
        <w:pStyle w:val="CaptionedFigure"/>
      </w:pPr>
      <w:bookmarkStart w:id="92" w:name="fig:18"/>
      <w:r>
        <w:drawing>
          <wp:inline>
            <wp:extent cx="5334000" cy="4471939"/>
            <wp:effectExtent b="0" l="0" r="0" t="0"/>
            <wp:docPr descr="Figure 18: Запуск образа диска дополнений гостевой ОС" title="" id="90" name="Picture"/>
            <a:graphic>
              <a:graphicData uri="http://schemas.openxmlformats.org/drawingml/2006/picture">
                <pic:pic>
                  <pic:nvPicPr>
                    <pic:cNvPr descr="pics/19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1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 18: Запуск образа диска дополнений гостевой ОС</w:t>
      </w:r>
    </w:p>
    <w:p>
      <w:pPr>
        <w:pStyle w:val="BodyText"/>
      </w:pPr>
      <w:r>
        <w:t xml:space="preserve">После загрузки дополнений нажмите Return или Enter и корректно перезагрузите виртуальную машину.</w:t>
      </w:r>
    </w:p>
    <w:p>
      <w:pPr>
        <w:pStyle w:val="BodyText"/>
      </w:pPr>
      <w:r>
        <w:t xml:space="preserve">Проверка Hostname на корректность</w:t>
      </w:r>
    </w:p>
    <w:p>
      <w:pPr>
        <w:pStyle w:val="CaptionedFigure"/>
      </w:pPr>
      <w:bookmarkStart w:id="96" w:name="fig:19"/>
      <w:r>
        <w:drawing>
          <wp:inline>
            <wp:extent cx="5334000" cy="2470219"/>
            <wp:effectExtent b="0" l="0" r="0" t="0"/>
            <wp:docPr descr="Figure 19: Запуск образа диска дополнений гостевой ОС" title="" id="94" name="Picture"/>
            <a:graphic>
              <a:graphicData uri="http://schemas.openxmlformats.org/drawingml/2006/picture">
                <pic:pic>
                  <pic:nvPicPr>
                    <pic:cNvPr descr="pics/20_hostname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0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 19: Запуск образа диска дополнений гостевой ОС</w:t>
      </w:r>
    </w:p>
    <w:p>
      <w:pPr>
        <w:pStyle w:val="BodyText"/>
      </w:pPr>
      <w:r>
        <w:t xml:space="preserve">Добавление user</w:t>
      </w:r>
    </w:p>
    <w:p>
      <w:pPr>
        <w:pStyle w:val="CaptionedFigure"/>
      </w:pPr>
      <w:bookmarkStart w:id="100" w:name="fig:20"/>
      <w:r>
        <w:drawing>
          <wp:inline>
            <wp:extent cx="5334000" cy="4496239"/>
            <wp:effectExtent b="0" l="0" r="0" t="0"/>
            <wp:docPr descr="Figure 20: Запуск образа диска дополнений гостевой ОС" title="" id="98" name="Picture"/>
            <a:graphic>
              <a:graphicData uri="http://schemas.openxmlformats.org/drawingml/2006/picture">
                <pic:pic>
                  <pic:nvPicPr>
                    <pic:cNvPr descr="pics/21_adduser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6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 20: Запуск образа диска дополнений гостевой ОС</w:t>
      </w:r>
    </w:p>
    <w:bookmarkStart w:id="133" w:name="домашнее-задание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Дождитесь загрузки графического окружения и откройте терминал. В окне</w:t>
      </w:r>
      <w:r>
        <w:t xml:space="preserve"> </w:t>
      </w:r>
      <w:r>
        <w:t xml:space="preserve">терминала проанализируйте последовательность загрузки системы, выполнив команду dmesg.fig. 21.</w:t>
      </w:r>
    </w:p>
    <w:p>
      <w:pPr>
        <w:pStyle w:val="CaptionedFigure"/>
      </w:pPr>
      <w:bookmarkStart w:id="104" w:name="fig:21"/>
      <w:r>
        <w:drawing>
          <wp:inline>
            <wp:extent cx="5334000" cy="3467925"/>
            <wp:effectExtent b="0" l="0" r="0" t="0"/>
            <wp:docPr descr="Figure 21: Последовательность загрузки ОС" title="" id="102" name="Picture"/>
            <a:graphic>
              <a:graphicData uri="http://schemas.openxmlformats.org/drawingml/2006/picture">
                <pic:pic>
                  <pic:nvPicPr>
                    <pic:cNvPr descr="pics/22_launch_dmesg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 21: Последовательность загрузки ОС</w:t>
      </w:r>
    </w:p>
    <w:p>
      <w:pPr>
        <w:pStyle w:val="BodyText"/>
      </w:pPr>
      <w:r>
        <w:t xml:space="preserve">Можно использовать поиск с помощью grep: 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  <w:r>
        <w:t xml:space="preserve">.</w:t>
      </w:r>
      <w:r>
        <w:t xml:space="preserve"> </w:t>
      </w:r>
      <w:r>
        <w:t xml:space="preserve">Получите следующую информацию.</w:t>
      </w:r>
    </w:p>
    <w:p>
      <w:pPr>
        <w:numPr>
          <w:ilvl w:val="0"/>
          <w:numId w:val="1001"/>
        </w:numPr>
        <w:pStyle w:val="Compact"/>
      </w:pPr>
      <w:r>
        <w:t xml:space="preserve">Версия ядра Linux (Linux version) fig. 22.</w:t>
      </w:r>
    </w:p>
    <w:p>
      <w:pPr>
        <w:numPr>
          <w:ilvl w:val="0"/>
          <w:numId w:val="1001"/>
        </w:numPr>
        <w:pStyle w:val="Compact"/>
      </w:pPr>
      <w:r>
        <w:t xml:space="preserve">Частота процессора (Detected Mhz processor) fig. 23.</w:t>
      </w:r>
    </w:p>
    <w:p>
      <w:pPr>
        <w:numPr>
          <w:ilvl w:val="0"/>
          <w:numId w:val="1001"/>
        </w:numPr>
        <w:pStyle w:val="Compact"/>
      </w:pPr>
      <w:r>
        <w:t xml:space="preserve">Модель процессора (CPU0) fig. 24.</w:t>
      </w:r>
    </w:p>
    <w:p>
      <w:pPr>
        <w:numPr>
          <w:ilvl w:val="0"/>
          <w:numId w:val="1001"/>
        </w:numPr>
        <w:pStyle w:val="Compact"/>
      </w:pPr>
      <w:r>
        <w:t xml:space="preserve">Объем доступной оперативной памяти (Memory available) fig. 25.</w:t>
      </w:r>
    </w:p>
    <w:p>
      <w:pPr>
        <w:numPr>
          <w:ilvl w:val="0"/>
          <w:numId w:val="1001"/>
        </w:numPr>
        <w:pStyle w:val="Compact"/>
      </w:pPr>
      <w:r>
        <w:t xml:space="preserve">Тип обнаруженного гипервизора (Hypervisor detected) fig. 26.</w:t>
      </w:r>
    </w:p>
    <w:p>
      <w:pPr>
        <w:numPr>
          <w:ilvl w:val="0"/>
          <w:numId w:val="1001"/>
        </w:numPr>
        <w:pStyle w:val="Compact"/>
      </w:pPr>
      <w:r>
        <w:t xml:space="preserve">Тип файловой системы корневого раздела fig. 27.</w:t>
      </w:r>
    </w:p>
    <w:p>
      <w:pPr>
        <w:numPr>
          <w:ilvl w:val="0"/>
          <w:numId w:val="1001"/>
        </w:numPr>
        <w:pStyle w:val="Compact"/>
      </w:pPr>
      <w:r>
        <w:t xml:space="preserve">Последовательность монтирования файловых систем fig. 28.</w:t>
      </w:r>
    </w:p>
    <w:p>
      <w:pPr>
        <w:pStyle w:val="CaptionedFigure"/>
      </w:pPr>
      <w:bookmarkStart w:id="108" w:name="fig:22"/>
      <w:r>
        <w:drawing>
          <wp:inline>
            <wp:extent cx="5334000" cy="1100137"/>
            <wp:effectExtent b="0" l="0" r="0" t="0"/>
            <wp:docPr descr="Figure 22: Версия ядра Linux" title="" id="106" name="Picture"/>
            <a:graphic>
              <a:graphicData uri="http://schemas.openxmlformats.org/drawingml/2006/picture">
                <pic:pic>
                  <pic:nvPicPr>
                    <pic:cNvPr descr="pics/23_linuxver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0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 22: Версия ядра Linux</w:t>
      </w:r>
    </w:p>
    <w:p>
      <w:pPr>
        <w:pStyle w:val="CaptionedFigure"/>
      </w:pPr>
      <w:bookmarkStart w:id="112" w:name="fig:23"/>
      <w:r>
        <w:drawing>
          <wp:inline>
            <wp:extent cx="4042610" cy="548640"/>
            <wp:effectExtent b="0" l="0" r="0" t="0"/>
            <wp:docPr descr="Figure 23: Частота процессора" title="" id="110" name="Picture"/>
            <a:graphic>
              <a:graphicData uri="http://schemas.openxmlformats.org/drawingml/2006/picture">
                <pic:pic>
                  <pic:nvPicPr>
                    <pic:cNvPr descr="pics/24_mhzproc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61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 23: Частота процессора</w:t>
      </w:r>
    </w:p>
    <w:p>
      <w:pPr>
        <w:pStyle w:val="CaptionedFigure"/>
      </w:pPr>
      <w:bookmarkStart w:id="116" w:name="fig:24"/>
      <w:r>
        <w:drawing>
          <wp:inline>
            <wp:extent cx="5334000" cy="559688"/>
            <wp:effectExtent b="0" l="0" r="0" t="0"/>
            <wp:docPr descr="Figure 24: Модель процессора" title="" id="114" name="Picture"/>
            <a:graphic>
              <a:graphicData uri="http://schemas.openxmlformats.org/drawingml/2006/picture">
                <pic:pic>
                  <pic:nvPicPr>
                    <pic:cNvPr descr="pics/25_cpumodel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 24: Модель процессора</w:t>
      </w:r>
    </w:p>
    <w:p>
      <w:pPr>
        <w:pStyle w:val="CaptionedFigure"/>
      </w:pPr>
      <w:bookmarkStart w:id="120" w:name="fig:25"/>
      <w:r>
        <w:drawing>
          <wp:inline>
            <wp:extent cx="5334000" cy="454133"/>
            <wp:effectExtent b="0" l="0" r="0" t="0"/>
            <wp:docPr descr="Figure 25: Объем доступной оперативной памяти" title="" id="118" name="Picture"/>
            <a:graphic>
              <a:graphicData uri="http://schemas.openxmlformats.org/drawingml/2006/picture">
                <pic:pic>
                  <pic:nvPicPr>
                    <pic:cNvPr descr="pics/26_memoryav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 25: Объем доступной оперативной памяти</w:t>
      </w:r>
    </w:p>
    <w:p>
      <w:pPr>
        <w:pStyle w:val="CaptionedFigure"/>
      </w:pPr>
      <w:bookmarkStart w:id="124" w:name="fig:26"/>
      <w:r>
        <w:drawing>
          <wp:inline>
            <wp:extent cx="3878981" cy="385010"/>
            <wp:effectExtent b="0" l="0" r="0" t="0"/>
            <wp:docPr descr="Figure 26: Тип обнаруженного гипервизора" title="" id="122" name="Picture"/>
            <a:graphic>
              <a:graphicData uri="http://schemas.openxmlformats.org/drawingml/2006/picture">
                <pic:pic>
                  <pic:nvPicPr>
                    <pic:cNvPr descr="pics/27_hypervisor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981" cy="385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 26: Тип обнаруженного гипервизора</w:t>
      </w:r>
    </w:p>
    <w:p>
      <w:pPr>
        <w:pStyle w:val="CaptionedFigure"/>
      </w:pPr>
      <w:bookmarkStart w:id="128" w:name="fig:27"/>
      <w:r>
        <w:drawing>
          <wp:inline>
            <wp:extent cx="3888606" cy="481263"/>
            <wp:effectExtent b="0" l="0" r="0" t="0"/>
            <wp:docPr descr="Figure 27: Тип файловой системы корневого раздела" title="" id="126" name="Picture"/>
            <a:graphic>
              <a:graphicData uri="http://schemas.openxmlformats.org/drawingml/2006/picture">
                <pic:pic>
                  <pic:nvPicPr>
                    <pic:cNvPr descr="pics/28_filesystem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06" cy="481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 27: Тип файловой системы корневого раздела</w:t>
      </w:r>
    </w:p>
    <w:p>
      <w:pPr>
        <w:pStyle w:val="CaptionedFigure"/>
      </w:pPr>
      <w:bookmarkStart w:id="132" w:name="fig:28"/>
      <w:r>
        <w:drawing>
          <wp:inline>
            <wp:extent cx="5334000" cy="2587200"/>
            <wp:effectExtent b="0" l="0" r="0" t="0"/>
            <wp:docPr descr="Figure 28: Последовательность монтирования файловых систем" title="" id="130" name="Picture"/>
            <a:graphic>
              <a:graphicData uri="http://schemas.openxmlformats.org/drawingml/2006/picture">
                <pic:pic>
                  <pic:nvPicPr>
                    <pic:cNvPr descr="pics/29_mounting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 28: Последовательность монтирования файловых систем</w:t>
      </w:r>
    </w:p>
    <w:bookmarkEnd w:id="133"/>
    <w:bookmarkEnd w:id="134"/>
    <w:bookmarkStart w:id="13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Приобретены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135"/>
    <w:bookmarkStart w:id="136" w:name="список-литератур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Методические материалы курса</w:t>
      </w:r>
    </w:p>
    <w:bookmarkEnd w:id="1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25" Target="media/rId25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безопасность. Отчет по лабораторной работе №1</dc:title>
  <dc:creator>Терентьев Егор Дмитриевич 1032192875</dc:creator>
  <dc:language>ru-RU</dc:language>
  <cp:keywords/>
  <dcterms:created xsi:type="dcterms:W3CDTF">2022-09-10T11:48:10Z</dcterms:created>
  <dcterms:modified xsi:type="dcterms:W3CDTF">2022-09-10T11:48:10Z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csl">
    <vt:lpwstr>pandoc/csl/gost-r-7-0-5-2008-numeric.csl</vt:lpwstr>
  </property>
  <property fmtid="{D5CDD505-2E9C-101B-9397-08002B2CF9AE}" pid="17" name="documentclass">
    <vt:lpwstr>scrreprt</vt:lpwstr>
  </property>
  <property fmtid="{D5CDD505-2E9C-101B-9397-08002B2CF9AE}" pid="18" name="eqLabels">
    <vt:lpwstr>arabic</vt:lpwstr>
  </property>
  <property fmtid="{D5CDD505-2E9C-101B-9397-08002B2CF9AE}" pid="19" name="eqnBlockInlineMath">
    <vt:lpwstr>False</vt:lpwstr>
  </property>
  <property fmtid="{D5CDD505-2E9C-101B-9397-08002B2CF9AE}" pid="20" name="eqnBlockTemplate">
    <vt:lpwstr>ti</vt:lpwstr>
  </property>
  <property fmtid="{D5CDD505-2E9C-101B-9397-08002B2CF9AE}" pid="21" name="eqnIndexTemplate">
    <vt:lpwstr>(i)</vt:lpwstr>
  </property>
  <property fmtid="{D5CDD505-2E9C-101B-9397-08002B2CF9AE}" pid="22" name="eqnInlineTemplate">
    <vt:lpwstr>eequationNumberTeX{i}</vt:lpwstr>
  </property>
  <property fmtid="{D5CDD505-2E9C-101B-9397-08002B2CF9AE}" pid="23" name="eqnPrefix">
    <vt:lpwstr/>
  </property>
  <property fmtid="{D5CDD505-2E9C-101B-9397-08002B2CF9AE}" pid="24" name="eqnPrefixTemplate">
    <vt:lpwstr>p i</vt:lpwstr>
  </property>
  <property fmtid="{D5CDD505-2E9C-101B-9397-08002B2CF9AE}" pid="25" name="equationNumberTeX">
    <vt:lpwstr>\qquad</vt:lpwstr>
  </property>
  <property fmtid="{D5CDD505-2E9C-101B-9397-08002B2CF9AE}" pid="26" name="figLabels">
    <vt:lpwstr>arabic</vt:lpwstr>
  </property>
  <property fmtid="{D5CDD505-2E9C-101B-9397-08002B2CF9AE}" pid="27" name="figPrefix">
    <vt:lpwstr/>
  </property>
  <property fmtid="{D5CDD505-2E9C-101B-9397-08002B2CF9AE}" pid="28" name="figPrefixTemplate">
    <vt:lpwstr>p i</vt:lpwstr>
  </property>
  <property fmtid="{D5CDD505-2E9C-101B-9397-08002B2CF9AE}" pid="29" name="figureTemplate">
    <vt:lpwstr>figureTitle ititleDelim t</vt:lpwstr>
  </property>
  <property fmtid="{D5CDD505-2E9C-101B-9397-08002B2CF9AE}" pid="30" name="figureTitle">
    <vt:lpwstr>Figure</vt:lpwstr>
  </property>
  <property fmtid="{D5CDD505-2E9C-101B-9397-08002B2CF9AE}" pid="31" name="fontsize">
    <vt:lpwstr>12pt</vt:lpwstr>
  </property>
  <property fmtid="{D5CDD505-2E9C-101B-9397-08002B2CF9AE}" pid="32" name="group">
    <vt:lpwstr>НФИбд-01-19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institute">
    <vt:lpwstr>RUDN University, Moscow, Russian Federation</vt:lpwstr>
  </property>
  <property fmtid="{D5CDD505-2E9C-101B-9397-08002B2CF9AE}" pid="36" name="lastDelim">
    <vt:lpwstr>, </vt:lpwstr>
  </property>
  <property fmtid="{D5CDD505-2E9C-101B-9397-08002B2CF9AE}" pid="37" name="linestretch">
    <vt:lpwstr>1.5</vt:lpwstr>
  </property>
  <property fmtid="{D5CDD505-2E9C-101B-9397-08002B2CF9AE}" pid="38" name="linkReferences">
    <vt:lpwstr>False</vt:lpwstr>
  </property>
  <property fmtid="{D5CDD505-2E9C-101B-9397-08002B2CF9AE}" pid="39" name="listingTemplate">
    <vt:lpwstr>listingTitle ititleDelim t</vt:lpwstr>
  </property>
  <property fmtid="{D5CDD505-2E9C-101B-9397-08002B2CF9AE}" pid="40" name="listingTitle">
    <vt:lpwstr>Listing</vt:lpwstr>
  </property>
  <property fmtid="{D5CDD505-2E9C-101B-9397-08002B2CF9AE}" pid="41" name="listings">
    <vt:lpwstr>False</vt:lpwstr>
  </property>
  <property fmtid="{D5CDD505-2E9C-101B-9397-08002B2CF9AE}" pid="42" name="lof">
    <vt:lpwstr>True</vt:lpwstr>
  </property>
  <property fmtid="{D5CDD505-2E9C-101B-9397-08002B2CF9AE}" pid="43" name="lofTitle">
    <vt:lpwstr>List of Figures</vt:lpwstr>
  </property>
  <property fmtid="{D5CDD505-2E9C-101B-9397-08002B2CF9AE}" pid="44" name="lolTitle">
    <vt:lpwstr>List of Listings</vt:lpwstr>
  </property>
  <property fmtid="{D5CDD505-2E9C-101B-9397-08002B2CF9AE}" pid="45" name="lot">
    <vt:lpwstr>True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Установка и конфигурация операционной системы на виртуальную машину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