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项目问题整改清单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按优先级排序版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1"/>
        </w:rPr>
        <w:t>适用对象：高校大型仪器共享平台项目</w:t>
        <w:br/>
        <w:t>用途：项目整改、阶段复盘、任务分派</w:t>
      </w:r>
    </w:p>
    <w:p/>
    <w:p>
      <w:pPr>
        <w:jc w:val="left"/>
      </w:pPr>
      <w:r>
        <w:rPr>
          <w:rFonts w:ascii="Microsoft YaHei" w:hAnsi="Microsoft YaHei" w:eastAsia="Microsoft YaHei"/>
          <w:sz w:val="21"/>
        </w:rPr>
        <w:t>说明：本清单按“P0 必须优先整改”到“P4 体验优化项”的顺序整理，可直接作为项目整改计划、答辩前检查表或开发任务拆分基础。</w:t>
      </w:r>
    </w:p>
    <w:p>
      <w:pPr>
        <w:pStyle w:val="Heading1"/>
      </w:pPr>
      <w:r>
        <w:t>一、优先级总览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B4C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优先级</w:t>
            </w:r>
          </w:p>
        </w:tc>
        <w:tc>
          <w:tcPr>
            <w:tcW w:type="dxa" w:w="2448"/>
            <w:shd w:fill="B4C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性质</w:t>
            </w:r>
          </w:p>
        </w:tc>
        <w:tc>
          <w:tcPr>
            <w:tcW w:type="dxa" w:w="4032"/>
            <w:shd w:fill="B4C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重点内容</w:t>
            </w:r>
          </w:p>
        </w:tc>
        <w:tc>
          <w:tcPr>
            <w:tcW w:type="dxa" w:w="2880"/>
            <w:shd w:fill="B4C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处理建议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</w:tcPr>
          <w:p>
            <w:r>
              <w:t>P0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必须先改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认证安全、密码加密、权限边界、价格模型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立即整改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r>
              <w:t>P1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尽快整改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后台拆页、样式体系、表单校验、请求封装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本轮开发完成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r>
              <w:t>P2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业务严谨性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订单状态机、开放规则、字段统一、资源归属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联调前完成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t>P3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工程质量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DTO/VO 分层、README、目录清理、日志异常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阶段收尾时完成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DEDED"/>
          </w:tcPr>
          <w:p>
            <w:r>
              <w:t>P4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体验优化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筛选状态保留、空态加载态、面包屑、后台视觉统一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有余力时优化</w:t>
            </w:r>
          </w:p>
        </w:tc>
      </w:tr>
    </w:tbl>
    <w:p/>
    <w:p>
      <w:pPr>
        <w:pStyle w:val="Heading1"/>
      </w:pPr>
      <w:r>
        <w:t>二、P0：必须优先整改</w:t>
      </w:r>
    </w:p>
    <w:p>
      <w:pPr>
        <w:pStyle w:val="Heading2"/>
      </w:pPr>
      <w:r>
        <w:t>1. 登录鉴权机制整改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当前 token 只是简单拼接后 Base64 编码，可伪造；无签名、无过期时间、无刷新机制。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改为标准 JWT 鉴权，token 中包含用户 ID、用户名、角色、过期时间，并由后端统一校验签名与失效时间。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引入 JWT 工具类；替换 TokenService；过滤器中从 JWT 解析用户信息；前端统一使用 Authorization: Bearer Token。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伪造 token 无法通过；过期 token 被拦截；未登录访问受保护接口返回 401。</w:t>
            </w:r>
          </w:p>
        </w:tc>
      </w:tr>
    </w:tbl>
    <w:p/>
    <w:p>
      <w:pPr>
        <w:pStyle w:val="Heading2"/>
      </w:pPr>
      <w:r>
        <w:t>2. 密码存储整改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当前密码明文存储、明文比对，存在明显安全风险。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使用 BCrypt 加密存储密码，并在登录时通过 matches 进行比对。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引入 BCryptPasswordEncoder；注册、重置密码统一加密；修改默认账号初始化逻辑。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数据库中不再出现明文密码；登录流程正常；默认账号可正常登录。</w:t>
            </w:r>
          </w:p>
        </w:tc>
      </w:tr>
    </w:tbl>
    <w:p/>
    <w:p>
      <w:pPr>
        <w:pStyle w:val="Heading2"/>
      </w:pPr>
      <w:r>
        <w:t>3. 数据库敏感配置整改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application.yml 中写死数据库账号和明文密码。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使用环境变量或多环境配置实现开发/生产配置分离。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拆分 application-dev.yml 与 application-prod.yml；改用 ${DB_USERNAME}、${DB_PASSWORD} 注入；README 补环境配置说明。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主配置文件中不再出现真实密码；不同环境可独立配置。</w:t>
            </w:r>
          </w:p>
        </w:tc>
      </w:tr>
    </w:tbl>
    <w:p/>
    <w:p>
      <w:pPr>
        <w:pStyle w:val="Heading2"/>
      </w:pPr>
      <w:r>
        <w:t>4. 后端权限边界整改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当前仅按角色粗放控制后台接口，没有本人/本部门的数据范围限制。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增加资源级权限控制：仪器负责人只能操作本人仪器，部门负责人只能看本部门数据，管理员可全量访问。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在 Service 层增加数据归属校验；封装 PermissionService 或 DataScopeUtil；对订单、仪器、财务相关接口增加资源判断。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仪器负责人不能修改他人仪器；部门负责人不能查看其他部门订单；管理员拥有全局权限。</w:t>
            </w:r>
          </w:p>
        </w:tc>
      </w:tr>
    </w:tbl>
    <w:p/>
    <w:p>
      <w:pPr>
        <w:pStyle w:val="Heading2"/>
      </w:pPr>
      <w:r>
        <w:t>5. 仪器价格模型整改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当前把校内/校外价格与上机/送样价格混用，字段语义不一致。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统一价格模型，并在数据库、后端 DTO/Entity 与前端表单中保持一致。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在“上机价/送样价”与“校内价/校外价”两种方案中选定一种；同步调整表结构、接口和页面文案。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价格字段含义前后端一致；新增/编辑仪器后展示正确；下单结算口径一致。</w:t>
            </w:r>
          </w:p>
        </w:tc>
      </w:tr>
    </w:tbl>
    <w:p/>
    <w:p>
      <w:pPr>
        <w:pStyle w:val="Heading1"/>
      </w:pPr>
      <w:r>
        <w:t>三、P1：强烈建议尽快整改</w:t>
      </w:r>
    </w:p>
    <w:p>
      <w:pPr>
        <w:pStyle w:val="Heading2"/>
      </w:pPr>
      <w:r>
        <w:t>6. 后台页面拆分整改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AdminInstrumentPage、AdminSystemPage 等页面承担了过多功能，页面巨石化。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按业务模块拆分页面或抽成独立组件，降低耦合。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拆出用户管理页、部门管理页、分类管理页、仪器管理页、开放规则页、附件管理页；抽表格、表单弹窗、工具栏、页面标题栏等公共组件。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单页面职责清晰；代码量下降；修改一个模块不影响其他模块。</w:t>
            </w:r>
          </w:p>
        </w:tc>
      </w:tr>
    </w:tbl>
    <w:p/>
    <w:p>
      <w:pPr>
        <w:pStyle w:val="Heading2"/>
      </w:pPr>
      <w:r>
        <w:t>7. 前端样式体系整改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页面存在较多内联样式，视觉规则分散。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建立统一样式类和页面规范，减少 style 内联。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抽出公共样式文件；建立页面容器、标题栏、工具栏、卡片、按钮组等 class；门户与后台分别沉淀样式体系。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大部分页面不再依赖内联样式；视觉更统一；样式维护成本降低。</w:t>
            </w:r>
          </w:p>
        </w:tc>
      </w:tr>
    </w:tbl>
    <w:p/>
    <w:p>
      <w:pPr>
        <w:pStyle w:val="Heading2"/>
      </w:pPr>
      <w:r>
        <w:t>8. 前端中英文统一整改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界面文案存在中英文混用，不符合高校平台风格。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前端界面统一使用中文。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按钮、标题、表格列名、提示语统一中文；状态码通过 formatter 映射中文。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所有页面中文统一，不再出现中英混杂。</w:t>
            </w:r>
          </w:p>
        </w:tc>
      </w:tr>
    </w:tbl>
    <w:p/>
    <w:p>
      <w:pPr>
        <w:pStyle w:val="Heading2"/>
      </w:pPr>
      <w:r>
        <w:t>9. 表单校验整改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关键表单缺少系统性校验。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为关键表单补齐必填、格式与范围校验。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优先补登录、用户新增/编辑、仪器新增/编辑、上机预约、送样预约、充值申请、开放规则等表单的 rules。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必填项缺失不能提交；非法时间和金额被拦截；错误提示清晰。</w:t>
            </w:r>
          </w:p>
        </w:tc>
      </w:tr>
    </w:tbl>
    <w:p/>
    <w:p>
      <w:pPr>
        <w:pStyle w:val="Heading2"/>
      </w:pPr>
      <w:r>
        <w:t>10. 请求封装整改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request.js 封装较弱，401/403/500、上传下载、静默错误处理不完整。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建立统一的请求拦截、响应拦截与错误处理机制。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区分 401、403、500；支持 blob 下载、文件上传统一封装；增加 showError 可配置项。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登录失效能自动跳转登录；无权限提示明确；上传下载逻辑统一。</w:t>
            </w:r>
          </w:p>
        </w:tc>
      </w:tr>
    </w:tbl>
    <w:p/>
    <w:p>
      <w:pPr>
        <w:pStyle w:val="Heading1"/>
      </w:pPr>
      <w:r>
        <w:t>四、P2：业务严谨性整改</w:t>
      </w:r>
    </w:p>
    <w:p>
      <w:pPr>
        <w:pStyle w:val="Heading2"/>
      </w:pPr>
      <w:r>
        <w:t>11. 订单状态机整改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当前状态流能跑通，但不够严谨，取消、审核、上传结果等控制较粗。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明确上机订单和送样订单两套状态机，并定义每个状态下允许的操作。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梳理上机订单与送样订单的完整状态流；统一封装状态迁移校验；明确可取消状态和可执行角色。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非法状态迁移被拦截；前后端状态显示一致；订单流程更符合真实业务。</w:t>
            </w:r>
          </w:p>
        </w:tc>
      </w:tr>
    </w:tbl>
    <w:p/>
    <w:p>
      <w:pPr>
        <w:pStyle w:val="Heading2"/>
      </w:pPr>
      <w:r>
        <w:t>12. 开放规则结构化整改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openDays、openTimeRange 采用字符串拼接，不利于校验和扩展。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将开放规则改为结构化字段。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前后端统一改为 weekDay、startTime、endTime；预留临时关闭时段表。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可准确判断某天某时是否可预约；后续支持节假日关闭和维护停约。</w:t>
            </w:r>
          </w:p>
        </w:tc>
      </w:tr>
    </w:tbl>
    <w:p/>
    <w:p>
      <w:pPr>
        <w:pStyle w:val="Heading2"/>
      </w:pPr>
      <w:r>
        <w:t>13. 前后端字段语义统一整改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DTO、Entity、数据库与前端表单之间的字段命名和含义不完全一致。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建立字段对照表，统一关键业务字段语义。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重点统一价格字段、状态字段、开放模式、预约类型、财务状态、审核状态。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同一个字段在前后端和数据库中含义一致，不再出现同名不同义。</w:t>
            </w:r>
          </w:p>
        </w:tc>
      </w:tr>
    </w:tbl>
    <w:p/>
    <w:p>
      <w:pPr>
        <w:pStyle w:val="Heading2"/>
      </w:pPr>
      <w:r>
        <w:t>14. 资源归属字段补强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部分业务对象对所属人、所属部门、关联仪器的表达还不够完整。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强化核心业务数据的归属字段，支撑权限与统计。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检查并补齐 owner_user_id、department_id、order 关联、audit 角色等关键归属字段。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每条核心业务数据都能明确归属；权限和统计逻辑可直接基于数据实现。</w:t>
            </w:r>
          </w:p>
        </w:tc>
      </w:tr>
    </w:tbl>
    <w:p/>
    <w:p>
      <w:pPr>
        <w:pStyle w:val="Heading1"/>
      </w:pPr>
      <w:r>
        <w:t>五、P3：工程质量整改</w:t>
      </w:r>
    </w:p>
    <w:p>
      <w:pPr>
        <w:pStyle w:val="Heading2"/>
      </w:pPr>
      <w:r>
        <w:t>15. VO / DTO / Entity 分层整改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接口返回对象与持久化对象边界还不够清晰。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将输入、输出、持久化对象分层明确。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建立 Request DTO、Response VO、Entity 和 Converter/Assembler。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Controller 不直接返回 Entity；接口字段更清晰稳定。</w:t>
            </w:r>
          </w:p>
        </w:tc>
      </w:tr>
    </w:tbl>
    <w:p/>
    <w:p>
      <w:pPr>
        <w:pStyle w:val="Heading2"/>
      </w:pPr>
      <w:r>
        <w:t>16. README 与启动文档整改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项目结构和启动说明不够完整。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补齐一份可直接启动项目的 README。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增加技术栈、项目结构、环境要求、启动方式、数据库初始化、默认账号、模块说明等内容。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新拿到项目的人可按 README 成功启动。</w:t>
            </w:r>
          </w:p>
        </w:tc>
      </w:tr>
    </w:tbl>
    <w:p/>
    <w:p>
      <w:pPr>
        <w:pStyle w:val="Heading2"/>
      </w:pPr>
      <w:r>
        <w:t>17. 项目打包与目录清理整改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项目中仍保留 .idea、target、node_modules、dist 等不必要内容。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保持仓库干净、可交付。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完善 .gitignore；删除本地缓存与构建产物；仅保留源码与必要脚本。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压缩包体积合理；目录结构清晰；不包含本地缓存。</w:t>
            </w:r>
          </w:p>
        </w:tc>
      </w:tr>
    </w:tbl>
    <w:p/>
    <w:p>
      <w:pPr>
        <w:pStyle w:val="Heading2"/>
      </w:pPr>
      <w:r>
        <w:t>18. 日志与异常处理整改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问题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关键异常、权限失败和业务失败的日志颗粒度可能不足。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整改目标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建立统一异常处理和关键业务日志记录机制。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建议动作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补全全局异常处理器；记录权限失败日志、订单状态变更日志、财务操作日志。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验收标准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>
              <w:t>错误可追踪；关键业务问题可定位。</w:t>
            </w:r>
          </w:p>
        </w:tc>
      </w:tr>
    </w:tbl>
    <w:p/>
    <w:p>
      <w:pPr>
        <w:pStyle w:val="Heading1"/>
      </w:pPr>
      <w:r>
        <w:t>六、P4：体验优化项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19. 列表筛选状态保留：仪器列表、订单列表、后台列表的筛选条件建议写入 URL query 或本地缓存，便于返回时保留原状态。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20. 空态、加载态、错误态统一：建立统一的空数据组件、加载组件和错误提示样式，提高页面一致性。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21. 面包屑与标题栏统一：二级和详情页统一显示页面标题与面包屑；首页、登录页和弹窗页不显示。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22. 后台视觉统一：标题区、工具栏、表格区、弹窗区形成一致的视觉规范，减少后台工具化观感。</w:t>
      </w:r>
    </w:p>
    <w:p/>
    <w:p>
      <w:pPr>
        <w:pStyle w:val="Heading1"/>
      </w:pPr>
      <w:r>
        <w:t>七、建议整改顺序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第一轮：登录鉴权、密码加密、数据库配置安全、权限边界、价格模型统一。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第二轮：后台页面拆分、样式体系、中英文统一、表单校验、请求封装。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第三轮：订单状态机、开放规则结构化、字段语义统一、资源归属补强。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第四轮：DTO/VO 分层、README、目录清理、日志异常处理、体验优化。</w:t>
      </w:r>
    </w:p>
    <w:p/>
    <w:p>
      <w:pPr>
        <w:pStyle w:val="Heading1"/>
      </w:pPr>
      <w:r>
        <w:t>八、最低优先完成项（时间有限时）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密码加密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JWT 鉴权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资源级权限控制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价格字段统一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后台大页面拆分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