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1.  Предварительный системный анализ организации на основе матрицы системных характеристик.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Дать общую характеристику организации: виды деятельности, размер предприятия, форма собственности, время образования и основные этапы развития.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Виды деятельности: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направлением деятельности компании «IBM» является разработка программного и аппаратного обеспечения, а также предоставление консалтинговых услуг в сфере информационных технологий.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консалтинговые услуги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предоставление услуг консультирования в технических аспектах какого-либо бизнеса)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Размер предприятия: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компания является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крупнейших в мире производителей и поставщиков аппаратного и программного обеспечения, а также IТ-сервисов и консалтинговых услуг. В данной компании работает 352 600 работников по всему миру. Их услугами пользуются клиенты из 170 стран. В 2019 году доход компании составил более 77 миллиардов долларов США. Чистая прибыль IBM в 2019 году составила 9,43 миллиарда долларов США.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Форма собственности: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«IBM» является акционерной частной (негосударственной) компанией с ограниченной ответственностью.</w:t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Время образования: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1896 году была основана компания «Tabulating Machine Company»(«TMC»), которая в 1911 году вошла в состав компании «Computing Tabulating Recording»(«CTR»), в 1924 году переименованной в «International Business Machines» («IBM»).</w:t>
      </w:r>
    </w:p>
    <w:p w:rsidR="00000000" w:rsidDel="00000000" w:rsidP="00000000" w:rsidRDefault="00000000" w:rsidRPr="00000000" w14:paraId="0000000B">
      <w:pPr>
        <w:keepNext w:val="1"/>
        <w:keepLines w:val="1"/>
        <w:spacing w:after="0" w:before="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Основные этапы развития: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1"/>
        </w:numPr>
        <w:spacing w:after="0" w:before="4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1888-1924 - основание IBM:</w:t>
      </w:r>
    </w:p>
    <w:p w:rsidR="00000000" w:rsidDel="00000000" w:rsidP="00000000" w:rsidRDefault="00000000" w:rsidRPr="00000000" w14:paraId="0000000D">
      <w:pPr>
        <w:keepNext w:val="1"/>
        <w:keepLines w:val="1"/>
        <w:spacing w:after="0" w:before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1890 году на территории США проходила перепись населения. Для обработки ее результатов впервые был применен «электрический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табулятор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 изобретенный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Германом Холлеритом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Благодаря ему, данные переписи удалось обработать всего за год, тогда как предыдущая перепись 1880 года обрабатывалась 8 лет. Воодушевленный успехом, изобретатель открыл в 1896 году компанию Tabulating Machine Company.</w:t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июня 1911 года основана CTR (Computing Tabulating Recording). Она включила в себя Computing Scale Company of America, Tabulating Machine Company (TMC — бывшая компания Германа Холлерита) и International Time Recording Company. Объединённая фирма выпускала широкий ассортимент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электрического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оборудования: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сырорезки, приборы учёта рабочего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перфорационные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машины. Из-за сложности в управлении разнородным бизнесом в мае 1914 года на пост генерального директора был приглашен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Томас Уотсон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компания начала специализироваться на создании больших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табуляционных машин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1924 году с выходом на канадский рынок и расширением ассортимента продукции CTR меняет название на International Business Machines или, сокращенно, IBM.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1"/>
        </w:numPr>
        <w:spacing w:after="0" w:before="4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1930-1940 годы:</w:t>
      </w:r>
    </w:p>
    <w:p w:rsidR="00000000" w:rsidDel="00000000" w:rsidP="00000000" w:rsidRDefault="00000000" w:rsidRPr="00000000" w14:paraId="00000010">
      <w:pPr>
        <w:keepNext w:val="1"/>
        <w:keepLines w:val="1"/>
        <w:spacing w:after="2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Великой депрессии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многомиллионные доходы позволили компании удержаться «на плаву». Несмотря на кризис, президент компании Томас Уотсон продолжил финансировать исследования и выплачивать рабочим зарплату. Выйти из кризиса IBM помогли крупные заказы правительства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США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1935—1936 годах. В годы Второй мировой войны компания производила в том числе и стрелковое оружие: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М1 Ca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Browning Automatic Rifle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1"/>
        </w:numPr>
        <w:spacing w:after="22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1950-е годы - проекты для ВВС и авиалиний:</w:t>
      </w:r>
    </w:p>
    <w:p w:rsidR="00000000" w:rsidDel="00000000" w:rsidP="00000000" w:rsidRDefault="00000000" w:rsidRPr="00000000" w14:paraId="00000012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1950-е годы компания создала крупную компьютеризированную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систему противоракетной обороны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 реальном времени анализировала данные, поступавшие с радаров, и обеспечивала наведение на цель перехватчиков.</w:t>
      </w:r>
    </w:p>
    <w:p w:rsidR="00000000" w:rsidDel="00000000" w:rsidP="00000000" w:rsidRDefault="00000000" w:rsidRPr="00000000" w14:paraId="00000013">
      <w:pPr>
        <w:keepNext w:val="1"/>
        <w:keepLines w:val="1"/>
        <w:numPr>
          <w:ilvl w:val="0"/>
          <w:numId w:val="1"/>
        </w:numPr>
        <w:spacing w:after="22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1959-1990 годы - эра компьютеров:</w:t>
      </w:r>
    </w:p>
    <w:p w:rsidR="00000000" w:rsidDel="00000000" w:rsidP="00000000" w:rsidRDefault="00000000" w:rsidRPr="00000000" w14:paraId="00000014">
      <w:pPr>
        <w:keepNext w:val="1"/>
        <w:keepLines w:val="1"/>
        <w:spacing w:after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1959 году появились первые компьютеры IBM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транзисторах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достигшие такого уровня надёжности и быстродействия, при котором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ВВС США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сочли возможным использовать их в системе раннего оповещения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Чуть раньше, в 1957 году, IBM ввела в обиход язык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FORTRAN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(«FORmula TRANslation»), применявшийся для научных вычислений.</w:t>
      </w:r>
    </w:p>
    <w:p w:rsidR="00000000" w:rsidDel="00000000" w:rsidP="00000000" w:rsidRDefault="00000000" w:rsidRPr="00000000" w14:paraId="00000015">
      <w:pPr>
        <w:keepNext w:val="1"/>
        <w:keepLines w:val="1"/>
        <w:spacing w:after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1971 году компания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гибкий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стал стандартом для хранения данных. </w:t>
      </w:r>
    </w:p>
    <w:p w:rsidR="00000000" w:rsidDel="00000000" w:rsidP="00000000" w:rsidRDefault="00000000" w:rsidRPr="00000000" w14:paraId="00000016">
      <w:pPr>
        <w:keepNext w:val="1"/>
        <w:keepLines w:val="1"/>
        <w:spacing w:after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1981 год прочно вошёл в историю человечества как год появления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Персонального Компьютера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 Компьютеры работали на DOS от Microsoft, т.е. было сотрудничество этих двух компаний.</w:t>
      </w:r>
    </w:p>
    <w:p w:rsidR="00000000" w:rsidDel="00000000" w:rsidP="00000000" w:rsidRDefault="00000000" w:rsidRPr="00000000" w14:paraId="00000017">
      <w:pPr>
        <w:keepNext w:val="1"/>
        <w:keepLines w:val="1"/>
        <w:spacing w:after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Ориентировочно в 1984 году была запущена серия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AS/400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мини-компьютер, предназначенный для бизнес-задач.</w:t>
      </w:r>
    </w:p>
    <w:p w:rsidR="00000000" w:rsidDel="00000000" w:rsidP="00000000" w:rsidRDefault="00000000" w:rsidRPr="00000000" w14:paraId="00000018">
      <w:pPr>
        <w:keepNext w:val="1"/>
        <w:keepLines w:val="1"/>
        <w:spacing w:after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1990-х годах компания «IBM» потеряла лидирующие позиции в производстве компьютеров. Компания предприняла попытки производства собственной операционной системы, но несмотря на массивную рекламную кампанию, продукту не удалось «удержаться на плаву».</w:t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"/>
        </w:numPr>
        <w:spacing w:after="22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1990-е - н.в. - эра консалтинга:</w:t>
      </w:r>
    </w:p>
    <w:p w:rsidR="00000000" w:rsidDel="00000000" w:rsidP="00000000" w:rsidRDefault="00000000" w:rsidRPr="00000000" w14:paraId="0000001A">
      <w:pPr>
        <w:keepNext w:val="1"/>
        <w:keepLines w:val="1"/>
        <w:spacing w:after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1990-х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годах в бизнесе IBM всё отчетливее стало прослеживаться стремление сместить фокус бизнеса в сторону поставки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первую очередь,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консалтинга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Фокусируя свой бизнес на поставке услуг, в 2005 году IBM продала за 1,8 млрд долл. своё подразделение по производству и продаже персональных компьютеров (линейки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ThinkPad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ThinkCentre) китайской компании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Lenovo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Примерно с 2007 года корпорация IBM начала работать в сегменте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облачных вычислений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бизнес-услуг, доставляемых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активно развивает свой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бизнес, который был сформирован на основе двух приобретенных компаний: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Cognos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они и сформировали основной набор программных инструментов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бизнес-анализа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intelligence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2007 года компания активно инвестирует свои финансы в малые компании с большими перспективами, которые занимаются разработкой программ для аналитики и прогнозирования, и покупает некоторые из них.</w:t>
      </w:r>
    </w:p>
    <w:p w:rsidR="00000000" w:rsidDel="00000000" w:rsidP="00000000" w:rsidRDefault="00000000" w:rsidRPr="00000000" w14:paraId="0000001F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октябре 2018 года корпорация IBM объявила о поглощении компании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 Hat»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34 млрд долларов, что стало крупнейшим приобретением в истории компаний разработчиков программного обеспечения.</w:t>
      </w:r>
    </w:p>
    <w:p w:rsidR="00000000" w:rsidDel="00000000" w:rsidP="00000000" w:rsidRDefault="00000000" w:rsidRPr="00000000" w14:paraId="00000020">
      <w:pPr>
        <w:keepNext w:val="1"/>
        <w:keepLines w:val="1"/>
        <w:spacing w:after="2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2021 году компания IBM собирается выделить подразделение специализирующееся на управляемых инфраструктурных услугах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Managed Infrastructure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в отдельную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публичную компанию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годовой выручкой в $19 млрд. Сама же IBM сосредоточится на новых возможностях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гибридных облачных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приложений и искусственного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системный анализ организации на основе матрицы системных характеристик (МСХ).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на табличку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638347" cy="5082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38347" cy="508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201D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201D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Стиль1"/>
    <w:basedOn w:val="1"/>
    <w:link w:val="12"/>
    <w:qFormat w:val="1"/>
    <w:rsid w:val="00201D3C"/>
    <w:rPr>
      <w:rFonts w:ascii="Times New Roman" w:cs="Times New Roman" w:hAnsi="Times New Roman"/>
      <w:b w:val="1"/>
      <w:color w:val="auto"/>
      <w:sz w:val="28"/>
      <w:szCs w:val="28"/>
    </w:rPr>
  </w:style>
  <w:style w:type="paragraph" w:styleId="21" w:customStyle="1">
    <w:name w:val="Стиль2"/>
    <w:basedOn w:val="2"/>
    <w:link w:val="22"/>
    <w:qFormat w:val="1"/>
    <w:rsid w:val="00201D3C"/>
    <w:pPr>
      <w:jc w:val="both"/>
    </w:pPr>
    <w:rPr>
      <w:rFonts w:ascii="Times New Roman" w:hAnsi="Times New Roman"/>
      <w:color w:val="000000" w:themeColor="text1"/>
      <w:sz w:val="28"/>
    </w:rPr>
  </w:style>
  <w:style w:type="character" w:styleId="10" w:customStyle="1">
    <w:name w:val="Заголовок 1 Знак"/>
    <w:basedOn w:val="a0"/>
    <w:link w:val="1"/>
    <w:uiPriority w:val="9"/>
    <w:rsid w:val="00201D3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12" w:customStyle="1">
    <w:name w:val="Стиль1 Знак"/>
    <w:basedOn w:val="10"/>
    <w:link w:val="11"/>
    <w:rsid w:val="00201D3C"/>
    <w:rPr>
      <w:rFonts w:ascii="Times New Roman" w:cs="Times New Roman" w:hAnsi="Times New Roman" w:eastAsiaTheme="majorEastAsia"/>
      <w:b w:val="1"/>
      <w:color w:val="2f5496" w:themeColor="accent1" w:themeShade="0000BF"/>
      <w:sz w:val="28"/>
      <w:szCs w:val="28"/>
    </w:rPr>
  </w:style>
  <w:style w:type="table" w:styleId="a3">
    <w:name w:val="Table Grid"/>
    <w:basedOn w:val="a1"/>
    <w:uiPriority w:val="39"/>
    <w:rsid w:val="00C543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0"/>
    <w:link w:val="2"/>
    <w:uiPriority w:val="9"/>
    <w:semiHidden w:val="1"/>
    <w:rsid w:val="00201D3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22" w:customStyle="1">
    <w:name w:val="Стиль2 Знак"/>
    <w:basedOn w:val="20"/>
    <w:link w:val="21"/>
    <w:rsid w:val="00201D3C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 w:val="1"/>
    <w:rsid w:val="00D17C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wShi00vi89RRYGDOY0UazQb_4mF18gI8VuBpGuBKjFo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s37+04g31wi5hIo0jzVSMI4jg==">AMUW2mXyo7ZyjEIZPrXGZad6OughDaIRJZR7DR6M5wyMRMby68E4nAIbcqnn1z+0Mb2hr4oczipgd8xnAiaW2xiiHvoMNnOAR4FVE5n6k63LoDBynsrH4qc=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2021-02-21T09:00:00Z</dcterms:created>
  <dc:creator>Рослая Ирина Александровна</dc:creator>
</cp:coreProperties>
</file>