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66F1" w14:textId="0B32D04A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fldChar w:fldCharType="begin"/>
      </w:r>
      <w:r w:rsidRPr="00B76372">
        <w:rPr>
          <w:rFonts w:ascii="Courier New" w:eastAsia="Times New Roman" w:hAnsi="Courier New" w:cs="Courier New"/>
          <w:sz w:val="24"/>
          <w:szCs w:val="24"/>
        </w:rPr>
        <w:instrText xml:space="preserve"> HYPERLINK "https://www.iso.org/standard/73906.html" \t "_blank" </w:instrText>
      </w:r>
      <w:r w:rsidRPr="00B76372">
        <w:rPr>
          <w:rFonts w:ascii="Courier New" w:eastAsia="Times New Roman" w:hAnsi="Courier New" w:cs="Courier New"/>
          <w:sz w:val="24"/>
          <w:szCs w:val="24"/>
        </w:rPr>
        <w:fldChar w:fldCharType="separate"/>
      </w:r>
      <w:r w:rsidRPr="00B76372">
        <w:rPr>
          <w:rFonts w:ascii="Courier New" w:eastAsia="Times New Roman" w:hAnsi="Courier New" w:cs="Courier New"/>
          <w:color w:val="149DCC"/>
          <w:sz w:val="24"/>
          <w:szCs w:val="24"/>
        </w:rPr>
        <w:t>ISO/IEC</w:t>
      </w:r>
      <w:r>
        <w:rPr>
          <w:rFonts w:ascii="Courier New" w:eastAsia="Times New Roman" w:hAnsi="Courier New" w:cs="Courier New"/>
          <w:color w:val="149DCC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color w:val="149DCC"/>
          <w:sz w:val="24"/>
          <w:szCs w:val="24"/>
        </w:rPr>
        <w:t>27000</w:t>
      </w:r>
      <w:r w:rsidRPr="00B76372">
        <w:rPr>
          <w:rFonts w:ascii="Courier New" w:eastAsia="Times New Roman" w:hAnsi="Courier New" w:cs="Courier New"/>
          <w:sz w:val="24"/>
          <w:szCs w:val="24"/>
        </w:rPr>
        <w:fldChar w:fldCharType="end"/>
      </w:r>
    </w:p>
    <w:p w14:paraId="1F46948C" w14:textId="11F6AAB9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Mayo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2009,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segunda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01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Diciembre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2012,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tercera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14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Enero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2014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cuarta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Febrero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2016.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proporciona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visión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general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componen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serie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27000,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indicando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alcance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actuación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propósito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publicación.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Recoge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todas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definiciones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serie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27000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aporta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bases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qué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importante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implantación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SGSI,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introducción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Sistemas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breve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descripción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pasos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establecimiento,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monitorización,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mantenimiento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mejora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SGSI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última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aborda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ciclo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Plan-Do-Check-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Act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evitar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convertirlo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único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referencia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mejora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continua).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Existen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versiones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traducidas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español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aunque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hay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prestar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atención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versión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descargada.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4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El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original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en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inglés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y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su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traducción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al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francés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en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su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versión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de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2018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puede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descargarse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gratuitamente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.</w:t>
      </w:r>
    </w:p>
    <w:p w14:paraId="71BD74A8" w14:textId="041A4C1D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5" w:anchor="!iso:std:54534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27001</w:t>
        </w:r>
      </w:hyperlink>
    </w:p>
    <w:p w14:paraId="5E3BBE2C" w14:textId="77777777" w:rsid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2005,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Septiembre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segunda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edición).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principal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serie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contiene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sistema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Tiene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origen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7799-2:2002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quedó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anulada)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arreglo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auditores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externos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SGSIs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organizaciones.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Anexo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enumera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resumen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objetivos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27002:2005,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sean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seleccionados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SGSI;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pesar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obligatoria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implementación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todos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enumerados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dicho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anexo,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deberá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argumentar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sólidamente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aplicabilidad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implementados.Desde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12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Noviembre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2014,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España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UNE-ISO/IEC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27001:2014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puede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adquirirse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online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6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UNE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publicó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documento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adicional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modificaciones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(UNE-ISO/IEC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27001:2014/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Cor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1:2015)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Diciembre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segunda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modificación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27001:2013/Cor.2:2015)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última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matizando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especificaciones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declaración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aplicabilidad.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Otros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países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donde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también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español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son,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ejemplo,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7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Colombia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(NTC-ISO-IEC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27001)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8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Chile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(NCh-ISO27001)</w:t>
        </w:r>
      </w:hyperlink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9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Uruguay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(UNIT-ISO/IEC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27001)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original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inglés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traducción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francés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pueden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adquirirse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iso.org.</w:t>
      </w:r>
    </w:p>
    <w:p w14:paraId="57ADA315" w14:textId="087DD407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lastRenderedPageBreak/>
        <w:t>Existe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reciente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puesta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libre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disposición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pública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"Industria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Conectada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4.0"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versión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10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UNE-ISO/IEC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27001:2017</w:t>
        </w:r>
      </w:hyperlink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consolidada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traducción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incorpora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correcciones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2015.</w:t>
      </w:r>
    </w:p>
    <w:p w14:paraId="3B563D70" w14:textId="66CDE0E3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11" w:anchor="!iso:std:54533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27002</w:t>
        </w:r>
      </w:hyperlink>
    </w:p>
    <w:p w14:paraId="111BBB00" w14:textId="77777777" w:rsid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Julio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2007,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renombra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17799:2005,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manteniendo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2005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año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buenas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prácticas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describe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objetivos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recomendables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cuanto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certificable.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Contiene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39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objetivos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133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agrupados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dominios.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ha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mencionado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apartado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correspondiente,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contiene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anexo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resume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27002:2005.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España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12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UNE-ISO/IEC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27002:2009</w:t>
        </w:r>
      </w:hyperlink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9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Diciembre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2009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también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español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otros,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13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Colombia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(NTC-ISO-IEC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27002)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14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Venezuela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(</w:t>
        </w:r>
        <w:proofErr w:type="spellStart"/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Fondonorma</w:t>
        </w:r>
        <w:proofErr w:type="spellEnd"/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27002)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15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Argentina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(IRAM-ISO-IEC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27002)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16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Chile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(NCh-ISO27002)</w:t>
        </w:r>
      </w:hyperlink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17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Uruguay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(UNIT-ISO/IEC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27002)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.La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18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última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edición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de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2013</w:t>
        </w:r>
      </w:hyperlink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estándar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actualizada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reestructurando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contenido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total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14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Dominios,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35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Objetivos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114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73771F35" w14:textId="77777777" w:rsid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Puede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descargarse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19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lista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actualizada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para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la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versión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2013</w:t>
        </w:r>
      </w:hyperlink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todos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práctica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única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página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mejor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referencia.</w:t>
      </w:r>
    </w:p>
    <w:p w14:paraId="7526B10D" w14:textId="77777777" w:rsid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Existe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reciente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puesta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libre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disposición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pública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"Industria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Conectada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4.0"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versión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20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UNE-ISO/IEC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27002:2017</w:t>
        </w:r>
      </w:hyperlink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consolidada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traducción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incorpora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correcciones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2015.</w:t>
      </w:r>
    </w:p>
    <w:p w14:paraId="110B2EF4" w14:textId="3892DCA0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hyperlink r:id="rId21" w:anchor="iso:std:iso-iec:27003:ed-2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27003</w:t>
        </w:r>
      </w:hyperlink>
    </w:p>
    <w:p w14:paraId="436FA42E" w14:textId="408750A4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01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Febrero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2010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actualizada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12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Abril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2017.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certificable.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centra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aspectos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críticos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necesarios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diseño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implementación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éxito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SGSI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acuerdo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Describe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especificación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diseño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concepción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hasta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puesta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marcha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planes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implementación,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así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obtención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aprobación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dirección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implementar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SGSI.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Tiene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origen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anexo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7799-2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serie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documentos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publicados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BSI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largo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años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recomendaciones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implantación.</w:t>
      </w:r>
    </w:p>
    <w:p w14:paraId="2CFA48D0" w14:textId="19ACD84F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22" w:anchor="iso:std:iso-iec:27004:ed-2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27004</w:t>
        </w:r>
      </w:hyperlink>
    </w:p>
    <w:p w14:paraId="4DC2B0CB" w14:textId="45D267D0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lastRenderedPageBreak/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Diciembre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2009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Diciembre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2016.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certificable.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utilización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métricas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técnicas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medida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aplicables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determinar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eficacia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SGSI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grupos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implementados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según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27001.</w:t>
      </w:r>
    </w:p>
    <w:p w14:paraId="410545FF" w14:textId="2ECF280C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23" w:anchor="iso:std:iso-iec:27005:ed-3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27005</w:t>
        </w:r>
      </w:hyperlink>
    </w:p>
    <w:p w14:paraId="7AA1F3B3" w14:textId="0166F001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tercera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Julio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2018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actualizaciones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respecto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27001:2013.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segunda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Junio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primera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Junio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2008.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certificable.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Proporciona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directrices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riesgo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Apoya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conceptos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generales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especificados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diseñada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ayudar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satisfactoria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basada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enfoque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riesgos.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primera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publicación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revisó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retiró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13335-3:1998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13335-4:2000.</w:t>
      </w:r>
    </w:p>
    <w:p w14:paraId="320F13F0" w14:textId="5CE8677E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24" w:anchor="iso:std:iso-iec:27006:ed-3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27006</w:t>
        </w:r>
      </w:hyperlink>
    </w:p>
    <w:p w14:paraId="576A6DAE" w14:textId="7E1F0526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segunda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Diciembre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(primera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Marzo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2007)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30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Septiembre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25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adenda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del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de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Marzo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de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2020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Especifica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acreditación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entidades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auditoría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sistemas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versión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EA-7/03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acreditación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entidades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operan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certificación/registro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SGSIs</w:t>
      </w:r>
      <w:proofErr w:type="spellEnd"/>
      <w:r w:rsidRPr="00B76372">
        <w:rPr>
          <w:rFonts w:ascii="Courier New" w:eastAsia="Times New Roman" w:hAnsi="Courier New" w:cs="Courier New"/>
          <w:sz w:val="24"/>
          <w:szCs w:val="24"/>
        </w:rPr>
        <w:t>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añade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17021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entidades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auditoría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sistemas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específicos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relacionados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27001:2005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SGSIs</w:t>
      </w:r>
      <w:proofErr w:type="spellEnd"/>
      <w:r w:rsidRPr="00B76372">
        <w:rPr>
          <w:rFonts w:ascii="Courier New" w:eastAsia="Times New Roman" w:hAnsi="Courier New" w:cs="Courier New"/>
          <w:sz w:val="24"/>
          <w:szCs w:val="24"/>
        </w:rPr>
        <w:t>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decir,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ayuda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interpretar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criterios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acreditación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17021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cuando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entidades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pero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acreditación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sí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misma.</w:t>
      </w:r>
    </w:p>
    <w:p w14:paraId="28FE8228" w14:textId="6ACCAF18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26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27007</w:t>
        </w:r>
      </w:hyperlink>
    </w:p>
    <w:p w14:paraId="4D08E3C4" w14:textId="5E91FE02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14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Noviembre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2011,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09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2017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última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versión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Enero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2020.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certificable.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auditoría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SGSI,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complemento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especificado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19011.</w:t>
      </w:r>
    </w:p>
    <w:p w14:paraId="6916B74F" w14:textId="22354E20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27" w:anchor="iso:std:iso-iec:ts:27008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TS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27008</w:t>
        </w:r>
      </w:hyperlink>
    </w:p>
    <w:p w14:paraId="708003E7" w14:textId="6F321725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lastRenderedPageBreak/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27008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Technical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Report)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sustituido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primera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"TS"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Technical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Specification</w:t>
      </w:r>
      <w:proofErr w:type="spellEnd"/>
      <w:r w:rsidRPr="00B76372">
        <w:rPr>
          <w:rFonts w:ascii="Courier New" w:eastAsia="Times New Roman" w:hAnsi="Courier New" w:cs="Courier New"/>
          <w:sz w:val="24"/>
          <w:szCs w:val="24"/>
        </w:rPr>
        <w:t>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14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Enero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2019.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certificable.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auditoría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seleccionados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implantación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SGSI.</w:t>
      </w:r>
    </w:p>
    <w:p w14:paraId="7A22A77B" w14:textId="10F55B5F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28" w:anchor="iso:std:iso-iec:27009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27009</w:t>
        </w:r>
      </w:hyperlink>
    </w:p>
    <w:p w14:paraId="31E13D0F" w14:textId="0C7AEBF9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inicialmente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Junio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2016,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Abril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2020.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certificable.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define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cualquier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sector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específico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(campo,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área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sector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industrial).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documento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explica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cómo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refinar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incluir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adicionales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cómo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incluir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conjuntos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adicionales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Anexo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A.</w:t>
      </w:r>
    </w:p>
    <w:p w14:paraId="28F04211" w14:textId="3156DF84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29" w:anchor="iso:std:iso-iec:27010:ed-2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27010</w:t>
        </w:r>
      </w:hyperlink>
    </w:p>
    <w:p w14:paraId="77CBFD4D" w14:textId="283EAA04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2012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10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Noviembre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Consiste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cuando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comparte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sectores.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27010:2012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aplicable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todas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formas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intercambio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difusión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sensible,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tanto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públicas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privadas,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nivel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nacional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internacional,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dentro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misma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industria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sector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mercado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sectores.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particular,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puede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aplicable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intercambios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participación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relación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suministro,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mantenimiento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protección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infraestructura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crítica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naciones.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Actualmente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actualización.</w:t>
      </w:r>
    </w:p>
    <w:p w14:paraId="67C1666F" w14:textId="7E890BE1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30" w:anchor="iso:std:iso-iec:27011:ed-2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27011</w:t>
        </w:r>
      </w:hyperlink>
    </w:p>
    <w:p w14:paraId="3393C2AA" w14:textId="69B0CD20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Diciembre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2008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Diciembre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2016.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interpretación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implementación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sector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telecomunicaciones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basada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27002.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también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ITU-T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X.1051.</w:t>
      </w:r>
    </w:p>
    <w:p w14:paraId="469FCAE7" w14:textId="5A91D430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31" w:anchor="iso:std:iso-iec:27013:ed-2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27013</w:t>
        </w:r>
      </w:hyperlink>
    </w:p>
    <w:p w14:paraId="2610470D" w14:textId="3F06BD25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2012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actualizada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24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Noviembre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implementación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integrada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27001:2005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20000-1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servicios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TI).</w:t>
      </w:r>
    </w:p>
    <w:p w14:paraId="59828E92" w14:textId="73101361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32" w:tgtFrame="_blank" w:history="1">
        <w:r w:rsidRPr="00B76372">
          <w:rPr>
            <w:rFonts w:ascii="Courier New" w:eastAsia="Times New Roman" w:hAnsi="Courier New" w:cs="Courier New"/>
            <w:color w:val="0000FF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0000FF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0000FF"/>
            <w:sz w:val="24"/>
            <w:szCs w:val="24"/>
          </w:rPr>
          <w:t>27014</w:t>
        </w:r>
      </w:hyperlink>
    </w:p>
    <w:p w14:paraId="3AB13A0F" w14:textId="0A334F80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lastRenderedPageBreak/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Abril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actualizada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segunda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Diciembre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2020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consiste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gobierno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corporativo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privacidad.</w:t>
      </w:r>
    </w:p>
    <w:p w14:paraId="3C0D1915" w14:textId="648316E4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33" w:anchor="iso:std:iso-iec:tr:27015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TR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27015</w:t>
        </w:r>
      </w:hyperlink>
    </w:p>
    <w:p w14:paraId="483874C2" w14:textId="129634EB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Noviembre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2012.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SGSI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orientada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sector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financiero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complemento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27002:2005.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24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Julio,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2017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anuncia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actualizada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relación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novedades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27002:2013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aunque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sigue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disponible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adquisición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interesados.</w:t>
      </w:r>
    </w:p>
    <w:p w14:paraId="38E40C0C" w14:textId="19EEC181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34" w:anchor="iso:std:iso-iec:tr:27016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TR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27016</w:t>
        </w:r>
      </w:hyperlink>
    </w:p>
    <w:p w14:paraId="14B295B5" w14:textId="3104A91C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Febrero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2014.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valoración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aspectos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financieros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información.</w:t>
      </w:r>
    </w:p>
    <w:p w14:paraId="2225F9A0" w14:textId="72E611D2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35" w:anchor="iso:std:iso-iec:27017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27017</w:t>
        </w:r>
      </w:hyperlink>
    </w:p>
    <w:p w14:paraId="0DC3A654" w14:textId="683DA47A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Diciembre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Cloud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Computing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alineada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27002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adicionales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específicos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entornos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nube.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posible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conjunto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implantación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SGSI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base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indicados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27001.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</w:p>
    <w:p w14:paraId="25D0A75B" w14:textId="7FC5360D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36" w:anchor="iso:std:iso-iec:27018:ed-2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27018</w:t>
        </w:r>
      </w:hyperlink>
    </w:p>
    <w:p w14:paraId="31B734E4" w14:textId="18DEA72B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29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Julio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2014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Enero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2019,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código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buenas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prácticas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protección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datos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aquellos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proveedores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servicios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computación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cloud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computing</w:t>
      </w:r>
      <w:proofErr w:type="spellEnd"/>
      <w:r w:rsidRPr="00B76372">
        <w:rPr>
          <w:rFonts w:ascii="Courier New" w:eastAsia="Times New Roman" w:hAnsi="Courier New" w:cs="Courier New"/>
          <w:sz w:val="24"/>
          <w:szCs w:val="24"/>
        </w:rPr>
        <w:t>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posible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conjunto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implantación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SGSI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base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indicados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27001.</w:t>
      </w:r>
    </w:p>
    <w:p w14:paraId="5C74DD20" w14:textId="0CBF0D97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37" w:anchor="iso:std:iso-iec:27019:ed-1:v2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TR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27019</w:t>
        </w:r>
      </w:hyperlink>
    </w:p>
    <w:p w14:paraId="559EC6F9" w14:textId="4D8A8BEC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17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Julio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2013.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referencia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27002:2005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sistemas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específicos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relacionados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sector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industria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energía.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Actualizada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27019:2017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2017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alineación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27002:2013,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además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sistemas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(p.ej.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PLCs</w:t>
      </w:r>
      <w:proofErr w:type="spellEnd"/>
      <w:r w:rsidRPr="00B76372">
        <w:rPr>
          <w:rFonts w:ascii="Courier New" w:eastAsia="Times New Roman" w:hAnsi="Courier New" w:cs="Courier New"/>
          <w:sz w:val="24"/>
          <w:szCs w:val="24"/>
        </w:rPr>
        <w:t>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utilizados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industria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energía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monitorear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producción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generación,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transmisión,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almacenamiento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distribución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energía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eléctrica,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gas,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petróleo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calor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lastRenderedPageBreak/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soporte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asociados,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también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incluye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adaptar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evaluación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tratamiento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riesgos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descritos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27001:2013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orientación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específica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sector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servicios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energía.</w:t>
      </w:r>
    </w:p>
    <w:p w14:paraId="47441FB7" w14:textId="3C8B0B64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38" w:anchor="iso:std:iso-iec:27021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27021</w:t>
        </w:r>
      </w:hyperlink>
    </w:p>
    <w:p w14:paraId="522AAFB8" w14:textId="5EFDD85A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31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2017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especifica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competencia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aquellos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profesionales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lideran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participan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establecimiento,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implementación,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mantenimiento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mejora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continua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más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sistema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(SGSI)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cumplan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27001.</w:t>
      </w:r>
    </w:p>
    <w:p w14:paraId="4AA41928" w14:textId="47ACE415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39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27022</w:t>
        </w:r>
      </w:hyperlink>
    </w:p>
    <w:p w14:paraId="2872231A" w14:textId="7D741602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Marzo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2021,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define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modelo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referencia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dominio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objetivo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guiar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usuarios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incorporar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enfoque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describe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27000:2018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(4.3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-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SGSI)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modo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alineado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otras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familia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27000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perspectiva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operación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SGSI.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documento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complementa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perspectiva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orientada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vista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operativo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orientado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procesos.</w:t>
      </w:r>
    </w:p>
    <w:p w14:paraId="3DB976F6" w14:textId="2BB94790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40" w:anchor="iso:std:iso-iec:tr:27023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TR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27023</w:t>
        </w:r>
      </w:hyperlink>
    </w:p>
    <w:p w14:paraId="46B70A35" w14:textId="7643C2D0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02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Julio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certificable.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correspondencias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versiones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27002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apoyo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transición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versiones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publicadas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2005.</w:t>
      </w:r>
    </w:p>
    <w:p w14:paraId="770F64D9" w14:textId="37B19377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41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27030</w:t>
        </w:r>
      </w:hyperlink>
    </w:p>
    <w:p w14:paraId="2F226CBF" w14:textId="6C0049F9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fase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cubrirá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privacidad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principios,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riesgos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aplicables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Internet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Cosas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IoT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-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Internet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of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Things).</w:t>
      </w:r>
    </w:p>
    <w:p w14:paraId="56B2A6C3" w14:textId="483235E9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42" w:anchor="!iso:std:44374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27031</w:t>
        </w:r>
      </w:hyperlink>
    </w:p>
    <w:p w14:paraId="0D20D485" w14:textId="13EC9C61" w:rsid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01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Marzo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2011.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certificable.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apoyo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adecuación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tecnologías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comunicación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(TIC)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continuidad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negocio.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documento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toma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referencia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estándar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25777.</w:t>
      </w:r>
    </w:p>
    <w:p w14:paraId="7737E51D" w14:textId="77777777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F859E99" w14:textId="3AF8A0AB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43" w:anchor="!iso:std:44375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27032</w:t>
        </w:r>
      </w:hyperlink>
    </w:p>
    <w:p w14:paraId="3037E2C2" w14:textId="05C561FB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16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Julio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2012.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Proporciona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orientación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mejora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cibernética,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extrayendo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aspectos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únicos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actividad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dependencias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otros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dominios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concretamente: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redes,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Internet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protección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infraestructuras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críticas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(CIIP).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prácticas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nivel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básico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interesados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ciberespacio.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establece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descripción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general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Cibernética,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explicación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relación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otros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tipos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garantías,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definición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partes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interesadas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descripción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papel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cibernética,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orientación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abordar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problemas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comunes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Cibernética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permite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partes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interesadas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colaboren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solución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problemas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ciberseguridad.</w:t>
      </w:r>
    </w:p>
    <w:p w14:paraId="6B02FD19" w14:textId="20AD2E77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44" w:anchor="iso:std:iso-iec:27033:-1:ed-2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27033</w:t>
        </w:r>
      </w:hyperlink>
    </w:p>
    <w:p w14:paraId="66786EFE" w14:textId="5D4AAAF6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Parcialmente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desarrollada.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dedicada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redes,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consistente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6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partes: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45" w:anchor="iso:std:iso-iec:27033:-1:ed-2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27033-1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conceptos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generales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Diciembre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2009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10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46" w:anchor="!iso:std:5158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27033-2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directrices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diseño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implementación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redes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Julio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2012);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47" w:anchor="!iso:std:51582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27033-3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escenarios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referencia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redes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Diciembre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2010);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48" w:anchor="!iso:std:51583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27033-4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aseguramiento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comunicaciones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redes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mediante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gateways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Febrero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2014);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49" w:anchor="!iso:std:51584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27033-5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aseguramiento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comunicaciones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mediante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VPNs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29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Julio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2013);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50" w:anchor="!iso:std:51585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27033-6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securización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redes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IP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wireless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Junio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2016).</w:t>
      </w:r>
    </w:p>
    <w:p w14:paraId="3546FA30" w14:textId="11571190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51" w:anchor="!iso:std:44378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27034</w:t>
        </w:r>
      </w:hyperlink>
    </w:p>
    <w:p w14:paraId="2C4ADE98" w14:textId="161F18E4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Parcialmente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desarrollada.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dedicada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informáticas,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consistente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7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partes: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52" w:anchor="!iso:std:44378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27034-1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conceptos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generales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Noviembre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2011);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53" w:anchor="iso:std:iso-iec:27034:-2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27034-2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normativo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Agosto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54" w:anchor="iso:std:iso-iec:27034:-3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27034-3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Mayo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2018);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27034-4,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validación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fase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desarrollo);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55" w:anchor="iso:std:iso-iec:27034:-5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27034-5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estructura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datos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protocolos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09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2017);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56" w:anchor="!iso:std:60804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27034-6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específico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2016);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57" w:anchor="iso:std:iso-iec:27034:-7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27034-7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predictivo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Mayo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2018).</w:t>
      </w:r>
    </w:p>
    <w:p w14:paraId="4F4A4ACE" w14:textId="4AA61BE4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58" w:anchor="iso:std:iso-iec:27035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27035</w:t>
        </w:r>
      </w:hyperlink>
    </w:p>
    <w:p w14:paraId="468E192F" w14:textId="63EB5940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17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Agosto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2011.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Proporciona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sobre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incidentes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partes: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59" w:anchor="!iso:std:60803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27035-1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Principios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incidentes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Noviembre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2016);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60" w:anchor="!iso:std:6207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27035-2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elaboración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plan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respuesta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incidentes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Noviembre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2016);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61" w:tgtFrame="_blank" w:history="1">
        <w:r w:rsidRPr="00B76372">
          <w:rPr>
            <w:rFonts w:ascii="Courier New" w:eastAsia="Times New Roman" w:hAnsi="Courier New" w:cs="Courier New"/>
            <w:color w:val="0000FF"/>
            <w:sz w:val="24"/>
            <w:szCs w:val="24"/>
          </w:rPr>
          <w:t>27035-3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operaciones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respuesta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incidentes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Septiembre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2020).</w:t>
      </w:r>
    </w:p>
    <w:p w14:paraId="5469011B" w14:textId="7E6D8C8E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62" w:anchor="iso:std:iso-iec:27036:-1:ed-2:v1:en" w:tgtFrame="_blank" w:history="1">
        <w:r w:rsidRPr="00B76372">
          <w:rPr>
            <w:rFonts w:ascii="Courier New" w:eastAsia="Times New Roman" w:hAnsi="Courier New" w:cs="Courier New"/>
            <w:color w:val="0000FF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0000FF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0000FF"/>
            <w:sz w:val="24"/>
            <w:szCs w:val="24"/>
          </w:rPr>
          <w:t>27036</w:t>
        </w:r>
      </w:hyperlink>
    </w:p>
    <w:p w14:paraId="7EC03D1A" w14:textId="68036284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cuatro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partes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relaciones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proveedores: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63" w:anchor="iso:std:iso-iec:27036:-1:ed-2:v1:en" w:tgtFrame="_blank" w:history="1">
        <w:r w:rsidRPr="00B76372">
          <w:rPr>
            <w:rFonts w:ascii="Courier New" w:eastAsia="Times New Roman" w:hAnsi="Courier New" w:cs="Courier New"/>
            <w:color w:val="0000FF"/>
            <w:sz w:val="24"/>
            <w:szCs w:val="24"/>
          </w:rPr>
          <w:t>27036-1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visión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general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conceptos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inicialmente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24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Marzo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2014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09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Septiembre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2021);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64" w:anchor="!iso:std:59680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27036-2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comunes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Febrero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2014);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65" w:anchor="!iso:std:59688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27036-3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cadena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suministro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TIC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08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Noviembre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2013);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66" w:anchor="!iso:std:59689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27036-4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entornos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servicios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Cloud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2016).</w:t>
      </w:r>
    </w:p>
    <w:p w14:paraId="2FF500A3" w14:textId="70DDB3EA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67" w:anchor="!iso:std:4438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27037</w:t>
        </w:r>
      </w:hyperlink>
    </w:p>
    <w:p w14:paraId="077841A9" w14:textId="3870161B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2012.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propociona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directrices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actividades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relacionadas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identificación,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recopilación,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consolidación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preservación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evidencias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digitales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potenciales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localizadas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teléfonos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móviles,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tarjetas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memoria,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dispositivos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electrónicos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personales,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sistemas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navegación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móvil,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cámaras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digitales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video,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redes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TCP/IP,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otros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dispositvos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puedan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utilizadas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valor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probatorio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intercambio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diferentes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jurisdicciones.</w:t>
      </w:r>
    </w:p>
    <w:p w14:paraId="2B7B9EED" w14:textId="63F7919A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68" w:anchor="iso:std:iso-iec:27038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27038</w:t>
        </w:r>
      </w:hyperlink>
    </w:p>
    <w:p w14:paraId="721D8D2D" w14:textId="057F5263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Marzo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2014.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especificación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redacción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digital.</w:t>
      </w:r>
    </w:p>
    <w:p w14:paraId="72BDF992" w14:textId="1CB3386E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69" w:anchor="!iso:std:56889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27039</w:t>
        </w:r>
      </w:hyperlink>
    </w:p>
    <w:p w14:paraId="7D1C4A8D" w14:textId="6EDC30CC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Febrero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selección,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despliege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operativa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sistemas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detección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prevención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intrusión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(IDS/IPS).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Existe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70" w:anchor="!iso:std:51585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corrección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al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contenido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inicial</w:t>
        </w:r>
      </w:hyperlink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28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Abril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2016.</w:t>
      </w:r>
    </w:p>
    <w:p w14:paraId="4164EE72" w14:textId="77777777" w:rsidR="00B76372" w:rsidRPr="00B76372" w:rsidRDefault="00B76372" w:rsidP="00B76372">
      <w:pPr>
        <w:pBdr>
          <w:top w:val="single" w:sz="12" w:space="0" w:color="EFEFEF"/>
          <w:left w:val="single" w:sz="12" w:space="0" w:color="EFEFEF"/>
          <w:bottom w:val="single" w:sz="12" w:space="0" w:color="EFEFEF"/>
          <w:right w:val="single" w:sz="12" w:space="0" w:color="EFEFEF"/>
        </w:pBd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15"/>
          <w:szCs w:val="15"/>
        </w:rPr>
      </w:pPr>
      <w:r w:rsidRPr="00B76372">
        <w:rPr>
          <w:rFonts w:ascii="Times New Roman" w:eastAsia="Times New Roman" w:hAnsi="Times New Roman" w:cs="Times New Roman"/>
          <w:sz w:val="15"/>
          <w:szCs w:val="15"/>
        </w:rPr>
        <w:t>40</w:t>
      </w:r>
    </w:p>
    <w:p w14:paraId="581C628E" w14:textId="5A60BA9A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71" w:anchor="iso:std:iso-iec:27040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27040</w:t>
        </w:r>
      </w:hyperlink>
    </w:p>
    <w:p w14:paraId="497925D8" w14:textId="7A47C368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05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Enero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medios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almacenamiento.</w:t>
      </w:r>
      <w:r>
        <w:rPr>
          <w:rFonts w:ascii="Courier New" w:eastAsia="Times New Roman" w:hAnsi="Courier New" w:cs="Courier New"/>
          <w:sz w:val="24"/>
          <w:szCs w:val="24"/>
        </w:rPr>
        <w:t xml:space="preserve">                   </w:t>
      </w:r>
    </w:p>
    <w:p w14:paraId="47ADB692" w14:textId="6F022B1D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72" w:anchor="iso:std:iso-iec:27041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27041</w:t>
        </w:r>
      </w:hyperlink>
    </w:p>
    <w:p w14:paraId="6ECE058C" w14:textId="27DD58E7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19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Junio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garantizar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idoneidad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adecuación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métodos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investigación.</w:t>
      </w:r>
    </w:p>
    <w:p w14:paraId="70B7B62E" w14:textId="486EFBA0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73" w:anchor="iso:std:iso-iec:27042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27042</w:t>
        </w:r>
      </w:hyperlink>
    </w:p>
    <w:p w14:paraId="4F6DAD4F" w14:textId="4F5B1445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19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Junio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directrices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análisis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interpretación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evidencias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digitales.</w:t>
      </w:r>
    </w:p>
    <w:p w14:paraId="3D9E8677" w14:textId="2ADC5AB6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74" w:anchor="iso:std:iso-iec:27043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27043</w:t>
        </w:r>
      </w:hyperlink>
    </w:p>
    <w:p w14:paraId="698876B5" w14:textId="79463087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04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Marzo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2015.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principios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investigación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recopilación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evidencias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digitales.</w:t>
      </w:r>
    </w:p>
    <w:p w14:paraId="333EE2FC" w14:textId="00E47DE3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75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27045</w:t>
        </w:r>
      </w:hyperlink>
    </w:p>
    <w:p w14:paraId="438DEA99" w14:textId="4CCFEE3B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fase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proyecto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inició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2018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cubrirá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privacidad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sistemas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big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data.</w:t>
      </w:r>
    </w:p>
    <w:p w14:paraId="366DD064" w14:textId="550E6F49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76" w:anchor="!iso:std:6308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27050</w:t>
        </w:r>
      </w:hyperlink>
    </w:p>
    <w:p w14:paraId="12E4E681" w14:textId="3DB5053C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tres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partes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sobre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almacenada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dispositivos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electrónicos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relación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identificación,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preservación,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recolección,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procesamiento,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análisis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producción: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77" w:anchor="!iso:std:6308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27050-1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conceptos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generales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Noviembre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2016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78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descarga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gratuita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79" w:anchor="iso:std:iso-iec:27050:-2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27050-2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gobierno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2018);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hyperlink r:id="rId80" w:anchor="iso:std:iso-iec:27050:-3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27050-3</w:t>
        </w:r>
      </w:hyperlink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código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buenas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prácticas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2017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fase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avanzada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revisión).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Existe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posible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extensión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cuarta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orientaciones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sobre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tecnología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eDiscovery</w:t>
      </w:r>
      <w:proofErr w:type="spellEnd"/>
      <w:r w:rsidRPr="00B76372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decir,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herramientas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sistemas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forenses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respaldan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recopilación,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almacenamiento,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recopilación,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búsqueda,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análisis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producción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ESI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Electronically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Stored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Information),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además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relacionados.</w:t>
      </w:r>
    </w:p>
    <w:p w14:paraId="726BAD90" w14:textId="0A54FD19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81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27070</w:t>
        </w:r>
      </w:hyperlink>
    </w:p>
    <w:p w14:paraId="01790C4B" w14:textId="4DF784D8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fase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establecerá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establecer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raíces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virtualizadas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confianza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nube,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lastRenderedPageBreak/>
        <w:t>decir,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provisión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entornos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informáticos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confiables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nube,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donde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máquinas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virtuales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crean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dinámicamente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proporcionar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servicios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nube.</w:t>
      </w:r>
    </w:p>
    <w:p w14:paraId="1BD94229" w14:textId="1006960B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82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27071</w:t>
        </w:r>
      </w:hyperlink>
    </w:p>
    <w:p w14:paraId="3F55180C" w14:textId="4A00E1C6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fase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recomendará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establecer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conexiones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confiables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dispositivos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servicios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nube.</w:t>
      </w:r>
    </w:p>
    <w:p w14:paraId="3E8852CF" w14:textId="4FB2B621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83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27099</w:t>
        </w:r>
      </w:hyperlink>
    </w:p>
    <w:p w14:paraId="69B04A89" w14:textId="7FEE2CE0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fase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identificará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proveedores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servicios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confianza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PKI.</w:t>
      </w:r>
    </w:p>
    <w:p w14:paraId="2B284BC7" w14:textId="102C6D25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84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27100</w:t>
        </w:r>
      </w:hyperlink>
    </w:p>
    <w:p w14:paraId="63BAE470" w14:textId="2B92889D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22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Diciembre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2020.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documento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proporciona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descripción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conceptos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relevantes,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incluida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relaciona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diferencia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información.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B76372">
        <w:rPr>
          <w:rFonts w:ascii="Courier New" w:eastAsia="Times New Roman" w:hAnsi="Courier New" w:cs="Courier New"/>
          <w:sz w:val="24"/>
          <w:szCs w:val="24"/>
        </w:rPr>
        <w:t>Adicionalmente,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establece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contexto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cubriendo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términos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definiciones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aplicables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excluir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definiciones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procedentes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otros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estándares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nuevos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términos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relacionados.</w:t>
      </w:r>
    </w:p>
    <w:p w14:paraId="13DA93C0" w14:textId="46036008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85" w:anchor="iso:std:iso-iec:27102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27102</w:t>
        </w:r>
      </w:hyperlink>
    </w:p>
    <w:p w14:paraId="46DB993A" w14:textId="0346DA64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Agosto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2019.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documento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proporciona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pautas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momento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considerar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contratar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ciberseguro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opción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tratamiento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riesgos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gestionar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impacto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ciberincidente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dentro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riesgos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organización.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</w:p>
    <w:p w14:paraId="71923350" w14:textId="083291CD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86" w:anchor="iso:std:iso-iec:tr:27103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TR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27103</w:t>
        </w:r>
      </w:hyperlink>
    </w:p>
    <w:p w14:paraId="5032C192" w14:textId="7FE2DBDB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22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Febrero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2018.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Primera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edición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proporcionar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orientación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sobre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cómo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aprovechar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existentes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ciberseguridad.</w:t>
      </w:r>
    </w:p>
    <w:p w14:paraId="4638E78A" w14:textId="5BB96E7A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87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TS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27110</w:t>
        </w:r>
      </w:hyperlink>
    </w:p>
    <w:p w14:paraId="6D329CAE" w14:textId="5E9F7F13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16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Febrero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2021.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audiencia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documento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creadores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objetivo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documento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garantizar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utilice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conjunto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mínimo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conceptos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definir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lastRenderedPageBreak/>
        <w:t>ciberseguridad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ayudando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aliviar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carga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creadores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usuarios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marcos.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principios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documento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flexibilidad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permitir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existencia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múltiples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tipos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ciberseguridad),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compatibilidad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permitir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alineación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múltiples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ciberseguridad)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interoperabilidad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permitir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usos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múltiples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ciberseguridad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sean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válidos).</w:t>
      </w:r>
    </w:p>
    <w:p w14:paraId="49B1B55F" w14:textId="374ED13E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88" w:anchor="iso:std:iso-iec:tr:27550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TR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27550</w:t>
        </w:r>
      </w:hyperlink>
    </w:p>
    <w:p w14:paraId="15F28BA0" w14:textId="7091E3D7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primera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vez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Septiembre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2019,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aspectos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privacidad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ingeniería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sistemas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TIC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(Tecnologías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Comunicaciones).</w:t>
      </w:r>
    </w:p>
    <w:p w14:paraId="14E33765" w14:textId="2190AD7A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89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27551</w:t>
        </w:r>
      </w:hyperlink>
    </w:p>
    <w:p w14:paraId="44A1D40B" w14:textId="5A93D17E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fase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especificará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autenticación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enlazable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basada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atributos.</w:t>
      </w:r>
    </w:p>
    <w:p w14:paraId="0F5087E2" w14:textId="57A9BE38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90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27553</w:t>
        </w:r>
      </w:hyperlink>
    </w:p>
    <w:p w14:paraId="1AE563FF" w14:textId="77B9546E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fase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especificará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autenticación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biométrica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dispositivos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móviles.</w:t>
      </w:r>
    </w:p>
    <w:p w14:paraId="6D39E9BA" w14:textId="0157D029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91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AWI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27554</w:t>
        </w:r>
      </w:hyperlink>
    </w:p>
    <w:p w14:paraId="62BD4725" w14:textId="1AC62AF4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fase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asesorará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sobre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31000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evaluar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riesgo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relacionado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identidad.</w:t>
      </w:r>
    </w:p>
    <w:p w14:paraId="125F305C" w14:textId="7733BEEE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92" w:anchor="iso:std:iso-iec:27555:ed-1:v1:en" w:tgtFrame="_blank" w:history="1">
        <w:r w:rsidRPr="00B76372">
          <w:rPr>
            <w:rFonts w:ascii="Courier New" w:eastAsia="Times New Roman" w:hAnsi="Courier New" w:cs="Courier New"/>
            <w:color w:val="0000FF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0000FF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0000FF"/>
            <w:sz w:val="24"/>
            <w:szCs w:val="24"/>
          </w:rPr>
          <w:t>27555</w:t>
        </w:r>
      </w:hyperlink>
    </w:p>
    <w:p w14:paraId="6535074B" w14:textId="486AD436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inicialmente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08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Octubre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2021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documento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proporciona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establecer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políticas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procedimientos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eliminación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PII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pueden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implementados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funcionales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TIC.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permite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eliminación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coherente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PII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toda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organización.</w:t>
      </w:r>
    </w:p>
    <w:p w14:paraId="3E65BD36" w14:textId="264E9C86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93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AWI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27556</w:t>
        </w:r>
      </w:hyperlink>
    </w:p>
    <w:p w14:paraId="2846CA92" w14:textId="793E51C2" w:rsid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fase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desarrollo,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generará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marco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centrado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usuario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manejar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PII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función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preferencias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privacidad.</w:t>
      </w:r>
    </w:p>
    <w:p w14:paraId="66D380F3" w14:textId="77777777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ED5FF6F" w14:textId="23E52C70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94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TS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27570</w:t>
        </w:r>
      </w:hyperlink>
    </w:p>
    <w:p w14:paraId="6609C780" w14:textId="38CCDB07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primera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vez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28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Enero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2021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documento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ofrece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orientación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sobre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privacidad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ciudadanos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punto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atención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principal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ecosistemas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denominadas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ciudades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inteligentes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smart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76372">
        <w:rPr>
          <w:rFonts w:ascii="Courier New" w:eastAsia="Times New Roman" w:hAnsi="Courier New" w:cs="Courier New"/>
          <w:sz w:val="24"/>
          <w:szCs w:val="24"/>
        </w:rPr>
        <w:t>cities</w:t>
      </w:r>
      <w:proofErr w:type="spellEnd"/>
      <w:r w:rsidRPr="00B76372">
        <w:rPr>
          <w:rFonts w:ascii="Courier New" w:eastAsia="Times New Roman" w:hAnsi="Courier New" w:cs="Courier New"/>
          <w:sz w:val="24"/>
          <w:szCs w:val="24"/>
        </w:rPr>
        <w:t>).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documento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aplicable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todo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tipo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tamaño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organizaciones,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incluidas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empresas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públicas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privadas,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entidades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gubernamentales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organizaciones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fines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lucro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brindan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servicios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entornos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ciudades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inteligentes.</w:t>
      </w:r>
    </w:p>
    <w:p w14:paraId="2037744F" w14:textId="615150B1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95" w:anchor="iso:std:iso-iec:27701:ed-1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ISO/IEC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27701</w:t>
        </w:r>
      </w:hyperlink>
    </w:p>
    <w:p w14:paraId="63BB3713" w14:textId="3EBAD45F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primera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vez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Agosto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2019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documento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especifica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proporciona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orientación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establecer,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implementar,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mantener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mejorar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continuamente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Sistema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privacidad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(PIMS)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modo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extensión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27002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gestión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privacidad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dentro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contexto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organización.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Especifica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requisitos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relacionados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PIMS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proporciona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orientación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controladores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procesadores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PII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tienen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responsabilidad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responsabilidad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procesamiento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PII.</w:t>
      </w:r>
    </w:p>
    <w:p w14:paraId="203CAD85" w14:textId="3F53D112" w:rsidR="00B76372" w:rsidRPr="00B76372" w:rsidRDefault="00B76372" w:rsidP="00B76372">
      <w:pPr>
        <w:spacing w:after="100" w:afterAutospacing="1" w:line="240" w:lineRule="auto"/>
        <w:outlineLvl w:val="3"/>
        <w:rPr>
          <w:rFonts w:ascii="Courier New" w:eastAsia="Times New Roman" w:hAnsi="Courier New" w:cs="Courier New"/>
          <w:sz w:val="24"/>
          <w:szCs w:val="24"/>
        </w:rPr>
      </w:pPr>
      <w:hyperlink r:id="rId96" w:anchor="iso:std:iso:27799:ed-2:v1:en" w:tgtFrame="_blank" w:history="1"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ISO</w:t>
        </w:r>
        <w:r>
          <w:rPr>
            <w:rFonts w:ascii="Courier New" w:eastAsia="Times New Roman" w:hAnsi="Courier New" w:cs="Courier New"/>
            <w:color w:val="149DCC"/>
            <w:sz w:val="24"/>
            <w:szCs w:val="24"/>
          </w:rPr>
          <w:t xml:space="preserve"> </w:t>
        </w:r>
        <w:r w:rsidRPr="00B76372">
          <w:rPr>
            <w:rFonts w:ascii="Courier New" w:eastAsia="Times New Roman" w:hAnsi="Courier New" w:cs="Courier New"/>
            <w:color w:val="149DCC"/>
            <w:sz w:val="24"/>
            <w:szCs w:val="24"/>
          </w:rPr>
          <w:t>27799</w:t>
        </w:r>
      </w:hyperlink>
    </w:p>
    <w:p w14:paraId="52D98415" w14:textId="344E03F8" w:rsidR="00B76372" w:rsidRPr="00B76372" w:rsidRDefault="00B76372" w:rsidP="00B76372">
      <w:pPr>
        <w:spacing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6372">
        <w:rPr>
          <w:rFonts w:ascii="Courier New" w:eastAsia="Times New Roman" w:hAnsi="Courier New" w:cs="Courier New"/>
          <w:sz w:val="24"/>
          <w:szCs w:val="24"/>
        </w:rPr>
        <w:t>Publicada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12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76372">
        <w:rPr>
          <w:rFonts w:ascii="Courier New" w:eastAsia="Times New Roman" w:hAnsi="Courier New" w:cs="Courier New"/>
          <w:sz w:val="24"/>
          <w:szCs w:val="24"/>
        </w:rPr>
        <w:t>Junio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2008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dispone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segunda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revisión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actualizada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Julio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2016.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una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proporciona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directrices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para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apoyar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interpretación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y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aplicación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sector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sanitario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ISO/IEC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27002,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cuanto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seguridad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información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sobre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datos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salud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los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pacientes.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Esta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norma,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contrario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que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anteriores,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desarrolla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subcomité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JTC1/SC27,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sino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el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comité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técnico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TC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6372">
        <w:rPr>
          <w:rFonts w:ascii="Courier New" w:eastAsia="Times New Roman" w:hAnsi="Courier New" w:cs="Courier New"/>
          <w:sz w:val="24"/>
          <w:szCs w:val="24"/>
        </w:rPr>
        <w:t>215.</w:t>
      </w:r>
    </w:p>
    <w:p w14:paraId="0B345ACF" w14:textId="77777777" w:rsidR="000205D7" w:rsidRPr="00B76372" w:rsidRDefault="00B76372"/>
    <w:sectPr w:rsidR="000205D7" w:rsidRPr="00B7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72"/>
    <w:rsid w:val="001879E5"/>
    <w:rsid w:val="002F5A8E"/>
    <w:rsid w:val="00573C1C"/>
    <w:rsid w:val="007D7564"/>
    <w:rsid w:val="00A22B87"/>
    <w:rsid w:val="00B76372"/>
    <w:rsid w:val="00E60955"/>
    <w:rsid w:val="00F0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0AAB"/>
  <w15:chartTrackingRefBased/>
  <w15:docId w15:val="{9C061E38-612F-4B33-A55C-E78DF2F0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3">
    <w:name w:val="heading 3"/>
    <w:basedOn w:val="Normal"/>
    <w:link w:val="Heading3Char"/>
    <w:uiPriority w:val="9"/>
    <w:qFormat/>
    <w:rsid w:val="00B763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763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63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637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6372"/>
    <w:rPr>
      <w:color w:val="0000FF"/>
      <w:u w:val="single"/>
    </w:rPr>
  </w:style>
  <w:style w:type="paragraph" w:customStyle="1" w:styleId="mbr-step-text">
    <w:name w:val="mbr-step-text"/>
    <w:basedOn w:val="Normal"/>
    <w:rsid w:val="00B76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1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34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6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6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9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0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4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8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5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9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7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1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1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7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5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6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56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7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0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5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3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5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2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1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3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9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9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9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2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2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5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9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88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7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1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5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9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3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7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0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2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05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7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8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37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1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73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7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5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1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8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5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17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5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5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3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47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26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17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8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5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7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7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0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2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93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5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8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0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1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3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4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0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0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8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9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5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0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5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2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8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0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so.org/standard/77802.html" TargetMode="External"/><Relationship Id="rId21" Type="http://schemas.openxmlformats.org/officeDocument/2006/relationships/hyperlink" Target="https://www.iso.org/obp/ui/" TargetMode="External"/><Relationship Id="rId34" Type="http://schemas.openxmlformats.org/officeDocument/2006/relationships/hyperlink" Target="https://www.iso.org/obp/ui/" TargetMode="External"/><Relationship Id="rId42" Type="http://schemas.openxmlformats.org/officeDocument/2006/relationships/hyperlink" Target="https://www.iso.org/obp/ui/" TargetMode="External"/><Relationship Id="rId47" Type="http://schemas.openxmlformats.org/officeDocument/2006/relationships/hyperlink" Target="https://www.iso.org/obp/ui/" TargetMode="External"/><Relationship Id="rId50" Type="http://schemas.openxmlformats.org/officeDocument/2006/relationships/hyperlink" Target="https://www.iso.org/obp/ui/" TargetMode="External"/><Relationship Id="rId55" Type="http://schemas.openxmlformats.org/officeDocument/2006/relationships/hyperlink" Target="https://www.iso.org/obp/ui/" TargetMode="External"/><Relationship Id="rId63" Type="http://schemas.openxmlformats.org/officeDocument/2006/relationships/hyperlink" Target="https://www.iso.org/obp/ui/" TargetMode="External"/><Relationship Id="rId68" Type="http://schemas.openxmlformats.org/officeDocument/2006/relationships/hyperlink" Target="https://www.iso.org/obp/ui/" TargetMode="External"/><Relationship Id="rId76" Type="http://schemas.openxmlformats.org/officeDocument/2006/relationships/hyperlink" Target="https://www.iso.org/obp/ui/" TargetMode="External"/><Relationship Id="rId84" Type="http://schemas.openxmlformats.org/officeDocument/2006/relationships/hyperlink" Target="https://www.iso.org/standard/72434.html" TargetMode="External"/><Relationship Id="rId89" Type="http://schemas.openxmlformats.org/officeDocument/2006/relationships/hyperlink" Target="https://www.iso.org/standard/72018.html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tienda.icontec.org/" TargetMode="External"/><Relationship Id="rId71" Type="http://schemas.openxmlformats.org/officeDocument/2006/relationships/hyperlink" Target="https://www.iso.org/obp/ui/" TargetMode="External"/><Relationship Id="rId92" Type="http://schemas.openxmlformats.org/officeDocument/2006/relationships/hyperlink" Target="https://www.iso.org/obp/u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nn.cl/" TargetMode="External"/><Relationship Id="rId29" Type="http://schemas.openxmlformats.org/officeDocument/2006/relationships/hyperlink" Target="https://www.iso.org/obp/ui/" TargetMode="External"/><Relationship Id="rId11" Type="http://schemas.openxmlformats.org/officeDocument/2006/relationships/hyperlink" Target="https://www.iso.org/obp/ui/" TargetMode="External"/><Relationship Id="rId24" Type="http://schemas.openxmlformats.org/officeDocument/2006/relationships/hyperlink" Target="https://www.iso.org/obp/ui/" TargetMode="External"/><Relationship Id="rId32" Type="http://schemas.openxmlformats.org/officeDocument/2006/relationships/hyperlink" Target="https://webstore.iec.ch/preview/info_isoiec27014%7Bed2.0%7Den.pdf" TargetMode="External"/><Relationship Id="rId37" Type="http://schemas.openxmlformats.org/officeDocument/2006/relationships/hyperlink" Target="https://www.iso.org/obp/ui/" TargetMode="External"/><Relationship Id="rId40" Type="http://schemas.openxmlformats.org/officeDocument/2006/relationships/hyperlink" Target="https://www.iso.org/obp/ui/" TargetMode="External"/><Relationship Id="rId45" Type="http://schemas.openxmlformats.org/officeDocument/2006/relationships/hyperlink" Target="https://www.iso.org/obp/ui/" TargetMode="External"/><Relationship Id="rId53" Type="http://schemas.openxmlformats.org/officeDocument/2006/relationships/hyperlink" Target="https://www.iso.org/obp/ui/" TargetMode="External"/><Relationship Id="rId58" Type="http://schemas.openxmlformats.org/officeDocument/2006/relationships/hyperlink" Target="https://www.iso.org/obp/ui/" TargetMode="External"/><Relationship Id="rId66" Type="http://schemas.openxmlformats.org/officeDocument/2006/relationships/hyperlink" Target="https://www.iso.org/obp/ui/" TargetMode="External"/><Relationship Id="rId74" Type="http://schemas.openxmlformats.org/officeDocument/2006/relationships/hyperlink" Target="https://www.iso.org/obp/ui/" TargetMode="External"/><Relationship Id="rId79" Type="http://schemas.openxmlformats.org/officeDocument/2006/relationships/hyperlink" Target="https://www.iso.org/obp/ui/" TargetMode="External"/><Relationship Id="rId87" Type="http://schemas.openxmlformats.org/officeDocument/2006/relationships/hyperlink" Target="https://www.iso.org/standard/72435.html" TargetMode="External"/><Relationship Id="rId5" Type="http://schemas.openxmlformats.org/officeDocument/2006/relationships/hyperlink" Target="https://www.iso.org/obp/ui/" TargetMode="External"/><Relationship Id="rId61" Type="http://schemas.openxmlformats.org/officeDocument/2006/relationships/hyperlink" Target="https://webstore.iec.ch/publication/67659?utm_source=Webstore+Just+Published&amp;utm_campaign=d3c9e81cfe-JUST+PUBLISHED+by+the+IEC+-+Edition++2020-09&amp;utm_medium=email&amp;utm_term=0_61d266ee9e-d3c9e81cfe-51605729" TargetMode="External"/><Relationship Id="rId82" Type="http://schemas.openxmlformats.org/officeDocument/2006/relationships/hyperlink" Target="https://www.iso.org/standard/56572.html" TargetMode="External"/><Relationship Id="rId90" Type="http://schemas.openxmlformats.org/officeDocument/2006/relationships/hyperlink" Target="https://www.iso.org/standard/71671.html" TargetMode="External"/><Relationship Id="rId95" Type="http://schemas.openxmlformats.org/officeDocument/2006/relationships/hyperlink" Target="https://www.iso.org/obp/ui/" TargetMode="External"/><Relationship Id="rId19" Type="http://schemas.openxmlformats.org/officeDocument/2006/relationships/hyperlink" Target="https://www.iso27000.es/assets/files/ControlesISO27002-2013.pdf" TargetMode="External"/><Relationship Id="rId14" Type="http://schemas.openxmlformats.org/officeDocument/2006/relationships/hyperlink" Target="http://www.fondonorma.org.ve/" TargetMode="External"/><Relationship Id="rId22" Type="http://schemas.openxmlformats.org/officeDocument/2006/relationships/hyperlink" Target="https://www.iso.org/obp/ui/" TargetMode="External"/><Relationship Id="rId27" Type="http://schemas.openxmlformats.org/officeDocument/2006/relationships/hyperlink" Target="https://www.iso.org/obp/ui/" TargetMode="External"/><Relationship Id="rId30" Type="http://schemas.openxmlformats.org/officeDocument/2006/relationships/hyperlink" Target="https://www.iso.org/obp/ui/" TargetMode="External"/><Relationship Id="rId35" Type="http://schemas.openxmlformats.org/officeDocument/2006/relationships/hyperlink" Target="https://www.iso.org/obp/ui/" TargetMode="External"/><Relationship Id="rId43" Type="http://schemas.openxmlformats.org/officeDocument/2006/relationships/hyperlink" Target="https://www.iso.org/obp/ui/" TargetMode="External"/><Relationship Id="rId48" Type="http://schemas.openxmlformats.org/officeDocument/2006/relationships/hyperlink" Target="https://www.iso.org/obp/ui/" TargetMode="External"/><Relationship Id="rId56" Type="http://schemas.openxmlformats.org/officeDocument/2006/relationships/hyperlink" Target="https://www.iso.org/obp/ui/" TargetMode="External"/><Relationship Id="rId64" Type="http://schemas.openxmlformats.org/officeDocument/2006/relationships/hyperlink" Target="https://www.iso.org/obp/ui/" TargetMode="External"/><Relationship Id="rId69" Type="http://schemas.openxmlformats.org/officeDocument/2006/relationships/hyperlink" Target="https://www.iso.org/obp/ui/" TargetMode="External"/><Relationship Id="rId77" Type="http://schemas.openxmlformats.org/officeDocument/2006/relationships/hyperlink" Target="https://www.iso.org/obp/ui/" TargetMode="External"/><Relationship Id="rId8" Type="http://schemas.openxmlformats.org/officeDocument/2006/relationships/hyperlink" Target="http://www.inn.cl/" TargetMode="External"/><Relationship Id="rId51" Type="http://schemas.openxmlformats.org/officeDocument/2006/relationships/hyperlink" Target="https://www.iso.org/obp/ui/" TargetMode="External"/><Relationship Id="rId72" Type="http://schemas.openxmlformats.org/officeDocument/2006/relationships/hyperlink" Target="https://www.iso.org/obp/ui/" TargetMode="External"/><Relationship Id="rId80" Type="http://schemas.openxmlformats.org/officeDocument/2006/relationships/hyperlink" Target="https://www.iso.org/obp/ui/" TargetMode="External"/><Relationship Id="rId85" Type="http://schemas.openxmlformats.org/officeDocument/2006/relationships/hyperlink" Target="https://www.iso.org/obp/ui/" TargetMode="External"/><Relationship Id="rId93" Type="http://schemas.openxmlformats.org/officeDocument/2006/relationships/hyperlink" Target="https://www.iso.org/standard/71674.html" TargetMode="External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une.org/" TargetMode="External"/><Relationship Id="rId17" Type="http://schemas.openxmlformats.org/officeDocument/2006/relationships/hyperlink" Target="http://www.unit.org.uy/" TargetMode="External"/><Relationship Id="rId25" Type="http://schemas.openxmlformats.org/officeDocument/2006/relationships/hyperlink" Target="https://www.iso.org/standard/77722.html" TargetMode="External"/><Relationship Id="rId33" Type="http://schemas.openxmlformats.org/officeDocument/2006/relationships/hyperlink" Target="https://www.iso.org/obp/ui/" TargetMode="External"/><Relationship Id="rId38" Type="http://schemas.openxmlformats.org/officeDocument/2006/relationships/hyperlink" Target="https://www.iso.org/obp/ui/" TargetMode="External"/><Relationship Id="rId46" Type="http://schemas.openxmlformats.org/officeDocument/2006/relationships/hyperlink" Target="https://www.iso.org/obp/ui/" TargetMode="External"/><Relationship Id="rId59" Type="http://schemas.openxmlformats.org/officeDocument/2006/relationships/hyperlink" Target="https://www.iso.org/obp/ui/" TargetMode="External"/><Relationship Id="rId67" Type="http://schemas.openxmlformats.org/officeDocument/2006/relationships/hyperlink" Target="https://www.iso.org/obp/ui/" TargetMode="External"/><Relationship Id="rId20" Type="http://schemas.openxmlformats.org/officeDocument/2006/relationships/hyperlink" Target="https://www.industriaconectada40.gob.es/difusion/Paginas/enlaces-interes.aspx" TargetMode="External"/><Relationship Id="rId41" Type="http://schemas.openxmlformats.org/officeDocument/2006/relationships/hyperlink" Target="https://www.iso.org/standard/44373.html" TargetMode="External"/><Relationship Id="rId54" Type="http://schemas.openxmlformats.org/officeDocument/2006/relationships/hyperlink" Target="https://www.iso.org/obp/ui/" TargetMode="External"/><Relationship Id="rId62" Type="http://schemas.openxmlformats.org/officeDocument/2006/relationships/hyperlink" Target="https://www.iso.org/obp/ui/" TargetMode="External"/><Relationship Id="rId70" Type="http://schemas.openxmlformats.org/officeDocument/2006/relationships/hyperlink" Target="https://www.iso.org/obp/ui/" TargetMode="External"/><Relationship Id="rId75" Type="http://schemas.openxmlformats.org/officeDocument/2006/relationships/hyperlink" Target="https://www.iso.org/standard/63929.html" TargetMode="External"/><Relationship Id="rId83" Type="http://schemas.openxmlformats.org/officeDocument/2006/relationships/hyperlink" Target="https://www.iso.org/standard/56590.html" TargetMode="External"/><Relationship Id="rId88" Type="http://schemas.openxmlformats.org/officeDocument/2006/relationships/hyperlink" Target="https://www.iso.org/obp/ui/" TargetMode="External"/><Relationship Id="rId91" Type="http://schemas.openxmlformats.org/officeDocument/2006/relationships/hyperlink" Target="https://www.iso.org/standard/71672.html" TargetMode="External"/><Relationship Id="rId96" Type="http://schemas.openxmlformats.org/officeDocument/2006/relationships/hyperlink" Target="https://www.iso.org/obp/ui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ne.org/" TargetMode="External"/><Relationship Id="rId15" Type="http://schemas.openxmlformats.org/officeDocument/2006/relationships/hyperlink" Target="https://www.iram.org.ar/" TargetMode="External"/><Relationship Id="rId23" Type="http://schemas.openxmlformats.org/officeDocument/2006/relationships/hyperlink" Target="https://www.iso.org/obp/ui/" TargetMode="External"/><Relationship Id="rId28" Type="http://schemas.openxmlformats.org/officeDocument/2006/relationships/hyperlink" Target="https://www.iso.org/obp/ui/" TargetMode="External"/><Relationship Id="rId36" Type="http://schemas.openxmlformats.org/officeDocument/2006/relationships/hyperlink" Target="https://www.iso.org/obp/ui/" TargetMode="External"/><Relationship Id="rId49" Type="http://schemas.openxmlformats.org/officeDocument/2006/relationships/hyperlink" Target="https://www.iso.org/obp/ui/" TargetMode="External"/><Relationship Id="rId57" Type="http://schemas.openxmlformats.org/officeDocument/2006/relationships/hyperlink" Target="https://www.iso.org/obp/ui/" TargetMode="External"/><Relationship Id="rId10" Type="http://schemas.openxmlformats.org/officeDocument/2006/relationships/hyperlink" Target="https://www.industriaconectada40.gob.es/difusion/Paginas/enlaces-interes.aspx" TargetMode="External"/><Relationship Id="rId31" Type="http://schemas.openxmlformats.org/officeDocument/2006/relationships/hyperlink" Target="https://www.iso.org/obp/ui/" TargetMode="External"/><Relationship Id="rId44" Type="http://schemas.openxmlformats.org/officeDocument/2006/relationships/hyperlink" Target="https://www.iso.org/obp/ui/" TargetMode="External"/><Relationship Id="rId52" Type="http://schemas.openxmlformats.org/officeDocument/2006/relationships/hyperlink" Target="https://www.iso.org/obp/ui/" TargetMode="External"/><Relationship Id="rId60" Type="http://schemas.openxmlformats.org/officeDocument/2006/relationships/hyperlink" Target="https://www.iso.org/obp/ui/" TargetMode="External"/><Relationship Id="rId65" Type="http://schemas.openxmlformats.org/officeDocument/2006/relationships/hyperlink" Target="https://www.iso.org/obp/ui/" TargetMode="External"/><Relationship Id="rId73" Type="http://schemas.openxmlformats.org/officeDocument/2006/relationships/hyperlink" Target="https://www.iso.org/obp/ui/" TargetMode="External"/><Relationship Id="rId78" Type="http://schemas.openxmlformats.org/officeDocument/2006/relationships/hyperlink" Target="https://standards.iso.org/ittf/PubliclyAvailableStandards/c063081_ISO_IEC_27050-1_2016.zip" TargetMode="External"/><Relationship Id="rId81" Type="http://schemas.openxmlformats.org/officeDocument/2006/relationships/hyperlink" Target="https://www.iso.org/standard/56571.html" TargetMode="External"/><Relationship Id="rId86" Type="http://schemas.openxmlformats.org/officeDocument/2006/relationships/hyperlink" Target="https://www.iso.org/obp/ui/" TargetMode="External"/><Relationship Id="rId94" Type="http://schemas.openxmlformats.org/officeDocument/2006/relationships/hyperlink" Target="https://www.iso.org/standard/71678.html" TargetMode="External"/><Relationship Id="rId4" Type="http://schemas.openxmlformats.org/officeDocument/2006/relationships/hyperlink" Target="https://standards.iso.org/ittf/PubliclyAvailableStandards/c073906_ISO_IEC_27000_2018_E.zip" TargetMode="External"/><Relationship Id="rId9" Type="http://schemas.openxmlformats.org/officeDocument/2006/relationships/hyperlink" Target="http://www.unit.org.uy/normalizacion/sistema/27000/" TargetMode="External"/><Relationship Id="rId13" Type="http://schemas.openxmlformats.org/officeDocument/2006/relationships/hyperlink" Target="http://www.icontec.org/" TargetMode="External"/><Relationship Id="rId18" Type="http://schemas.openxmlformats.org/officeDocument/2006/relationships/hyperlink" Target="https://www.une.org/" TargetMode="External"/><Relationship Id="rId39" Type="http://schemas.openxmlformats.org/officeDocument/2006/relationships/hyperlink" Target="https://www.iso.org/standard/61004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4589</Words>
  <Characters>26161</Characters>
  <Application>Microsoft Office Word</Application>
  <DocSecurity>0</DocSecurity>
  <Lines>218</Lines>
  <Paragraphs>61</Paragraphs>
  <ScaleCrop>false</ScaleCrop>
  <Company/>
  <LinksUpToDate>false</LinksUpToDate>
  <CharactersWithSpaces>30689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José Manuel Aroca Fernández</cp:lastModifiedBy>
  <cp:revision>1</cp:revision>
  <dcterms:created xsi:type="dcterms:W3CDTF">2022-01-20T10:34:00Z</dcterms:created>
  <dcterms:modified xsi:type="dcterms:W3CDTF">2022-01-20T10:47:00Z</dcterms:modified>
</cp:coreProperties>
</file>