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4E5F"/>
          <w:sz w:val="72"/>
          <w:szCs w:val="72"/>
        </w:rPr>
        <w:t xml:space="preserve">Unö</w:t>
      </w:r>
    </w:p>
    <w:p>
      <w:pPr>
        <w:spacing w:after="200"/>
      </w:pPr>
      <w:r>
        <w:rPr>
          <w:b/>
          <w:bCs/>
          <w:color w:val="2A2A2A"/>
          <w:sz w:val="40"/>
          <w:szCs w:val="40"/>
        </w:rPr>
        <w:t xml:space="preserve">Onboarding &amp; Milestones</w:t>
      </w:r>
    </w:p>
    <w:p>
      <w:pPr>
        <w:spacing w:after="60"/>
      </w:pPr>
      <w:r>
        <w:rPr>
          <w:i/>
          <w:iCs/>
          <w:color w:val="5A5A5A"/>
          <w:sz w:val="22"/>
          <w:szCs w:val="22"/>
        </w:rPr>
        <w:t xml:space="preserve">Role-based onboarding and the nine-stage transaction flow, end to end.</w:t>
      </w:r>
    </w:p>
    <w:p>
      <w:pPr>
        <w:spacing w:after="40"/>
      </w:pPr>
      <w:r>
        <w:rPr>
          <w:i/>
          <w:iCs/>
          <w:color w:val="5A5A5A"/>
          <w:sz w:val="20"/>
          <w:szCs w:val="20"/>
        </w:rPr>
        <w:t xml:space="preserve">Companion to the Build Brief, Strategy Roadmap, Product Feature Spec, and Tech Spec.</w:t>
      </w:r>
    </w:p>
    <w:p>
      <w:pPr>
        <w:spacing w:after="300"/>
      </w:pPr>
      <w:r>
        <w:rPr>
          <w:i/>
          <w:iCs/>
          <w:color w:val="5A5A5A"/>
          <w:sz w:val="20"/>
          <w:szCs w:val="20"/>
        </w:rPr>
        <w:t xml:space="preserve">Version 1  ·  July 2026  ·  Confidential</w:t>
      </w:r>
    </w:p>
    <w:p>
      <w:pPr>
        <w:pBdr>
          <w:bottom w:val="single" w:color="CCCCCC" w:sz="6" w:space="6"/>
        </w:pBdr>
        <w:spacing w:after="120" w:before="120"/>
      </w:pPr>
      <w:r>
        <w:rPr>
          <w:sz w:val="2"/>
          <w:szCs w:val="2"/>
        </w:rPr>
        <w:t xml:space="preserve"/>
      </w:r>
    </w:p>
    <w:p>
      <w:pPr>
        <w:pStyle w:val="Heading1"/>
        <w:spacing w:after="160" w:before="360"/>
      </w:pPr>
      <w:r>
        <w:rPr>
          <w:b/>
          <w:bCs/>
          <w:color w:val="1F4E5F"/>
          <w:sz w:val="30"/>
          <w:szCs w:val="30"/>
        </w:rPr>
        <w:t xml:space="preserve">How to read this document</w:t>
      </w:r>
    </w:p>
    <w:p>
      <w:pPr>
        <w:spacing w:after="140" w:line="280"/>
      </w:pPr>
      <w:r>
        <w:rPr>
          <w:sz w:val="21"/>
          <w:szCs w:val="21"/>
        </w:rPr>
        <w:t xml:space="preserve">This doc does two jobs. The first half defines how each type of user gets into Unö and what they can do at each level of identity verification. The second half defines the nine stages a property transaction passes through, from first search to handover.</w:t>
      </w:r>
    </w:p>
    <w:p>
      <w:pPr>
        <w:spacing w:after="140" w:line="280"/>
      </w:pPr>
      <w:r>
        <w:rPr>
          <w:sz w:val="21"/>
          <w:szCs w:val="21"/>
        </w:rPr>
        <w:t xml:space="preserve">Most of the nine stages are Phase 2 or later. They are documented now anyway, for two reasons: the Phase 1 data model has to leave room for them, and the flow is what makes the partnership concrete — it shows exactly where the anchor firm’s legal work plugs into the product.</w:t>
      </w:r>
    </w:p>
    <w:p>
      <w:pPr>
        <w:spacing w:after="140" w:line="280"/>
      </w:pPr>
      <w:r>
        <w:rPr>
          <w:b/>
          <w:bCs/>
          <w:sz w:val="21"/>
          <w:szCs w:val="21"/>
        </w:rPr>
        <w:t xml:space="preserve">Phase markers used throughout:</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728"/>
        <w:gridCol w:w="7632"/>
      </w:tblGrid>
      <w:tr>
        <w:trPr>
          <w:tblHeader/>
        </w:trPr>
        <w:tc>
          <w:tcPr>
            <w:tcW w:type="dxa" w:w="1728"/>
            <w:shd w:fill="E8EEF1" w:color="auto" w:val="clear"/>
            <w:tcMar>
              <w:top w:type="dxa" w:w="80"/>
              <w:left w:type="dxa" w:w="110"/>
              <w:bottom w:type="dxa" w:w="80"/>
              <w:right w:type="dxa" w:w="110"/>
            </w:tcMar>
          </w:tcPr>
          <w:p>
            <w:pPr>
              <w:spacing w:after="0" w:line="260"/>
            </w:pPr>
            <w:r>
              <w:rPr>
                <w:b/>
                <w:bCs/>
                <w:sz w:val="19"/>
                <w:szCs w:val="19"/>
              </w:rPr>
              <w:t xml:space="preserve">Marker</w:t>
            </w:r>
          </w:p>
        </w:tc>
        <w:tc>
          <w:tcPr>
            <w:tcW w:type="dxa" w:w="7632"/>
            <w:shd w:fill="E8EEF1" w:color="auto" w:val="clear"/>
            <w:tcMar>
              <w:top w:type="dxa" w:w="80"/>
              <w:left w:type="dxa" w:w="110"/>
              <w:bottom w:type="dxa" w:w="80"/>
              <w:right w:type="dxa" w:w="110"/>
            </w:tcMar>
          </w:tcPr>
          <w:p>
            <w:pPr>
              <w:spacing w:after="0" w:line="260"/>
            </w:pPr>
            <w:r>
              <w:rPr>
                <w:b/>
                <w:bCs/>
                <w:sz w:val="19"/>
                <w:szCs w:val="19"/>
              </w:rPr>
              <w:t xml:space="preserve">Meaning</w:t>
            </w:r>
          </w:p>
        </w:tc>
      </w:tr>
      <w:tr>
        <w:tc>
          <w:tcPr>
            <w:tcW w:type="dxa" w:w="1728"/>
            <w:shd w:fill="E4F0E6" w:color="auto" w:val="clear"/>
            <w:tcMar>
              <w:top w:type="dxa" w:w="80"/>
              <w:left w:type="dxa" w:w="110"/>
              <w:bottom w:type="dxa" w:w="80"/>
              <w:right w:type="dxa" w:w="110"/>
            </w:tcMar>
          </w:tcPr>
          <w:p>
            <w:pPr>
              <w:spacing w:after="0" w:line="260"/>
            </w:pPr>
            <w:r>
              <w:rPr>
                <w:b w:val="false"/>
                <w:bCs w:val="false"/>
                <w:sz w:val="19"/>
                <w:szCs w:val="19"/>
              </w:rPr>
              <w:t xml:space="preserve">PHASE 1</w:t>
            </w:r>
          </w:p>
        </w:tc>
        <w:tc>
          <w:tcPr>
            <w:tcW w:type="dxa" w:w="7632"/>
            <w:shd w:fill="E4F0E6" w:color="auto" w:val="clear"/>
            <w:tcMar>
              <w:top w:type="dxa" w:w="80"/>
              <w:left w:type="dxa" w:w="110"/>
              <w:bottom w:type="dxa" w:w="80"/>
              <w:right w:type="dxa" w:w="110"/>
            </w:tcMar>
          </w:tcPr>
          <w:p>
            <w:pPr>
              <w:spacing w:after="0" w:line="260"/>
            </w:pPr>
            <w:r>
              <w:rPr>
                <w:b w:val="false"/>
                <w:bCs w:val="false"/>
                <w:sz w:val="19"/>
                <w:szCs w:val="19"/>
              </w:rPr>
              <w:t xml:space="preserve">Built now. In the Trust MVP scope. No customer money moves.</w:t>
            </w:r>
          </w:p>
        </w:tc>
      </w:tr>
      <w:tr>
        <w:tc>
          <w:tcPr>
            <w:tcW w:type="dxa" w:w="1728"/>
            <w:shd w:fill="FBEDE4" w:color="auto" w:val="clear"/>
            <w:tcMar>
              <w:top w:type="dxa" w:w="80"/>
              <w:left w:type="dxa" w:w="110"/>
              <w:bottom w:type="dxa" w:w="80"/>
              <w:right w:type="dxa" w:w="110"/>
            </w:tcMar>
          </w:tcPr>
          <w:p>
            <w:pPr>
              <w:spacing w:after="0" w:line="260"/>
            </w:pPr>
            <w:r>
              <w:rPr>
                <w:b w:val="false"/>
                <w:bCs w:val="false"/>
                <w:sz w:val="19"/>
                <w:szCs w:val="19"/>
              </w:rPr>
              <w:t xml:space="preserve">PHASE 2+</w:t>
            </w:r>
          </w:p>
        </w:tc>
        <w:tc>
          <w:tcPr>
            <w:tcW w:type="dxa" w:w="7632"/>
            <w:shd w:fill="FBEDE4" w:color="auto" w:val="clear"/>
            <w:tcMar>
              <w:top w:type="dxa" w:w="80"/>
              <w:left w:type="dxa" w:w="110"/>
              <w:bottom w:type="dxa" w:w="80"/>
              <w:right w:type="dxa" w:w="110"/>
            </w:tcMar>
          </w:tcPr>
          <w:p>
            <w:pPr>
              <w:spacing w:after="0" w:line="260"/>
            </w:pPr>
            <w:r>
              <w:rPr>
                <w:b w:val="false"/>
                <w:bCs w:val="false"/>
                <w:sz w:val="19"/>
                <w:szCs w:val="19"/>
              </w:rPr>
              <w:t xml:space="preserve">Documented now, built later, behind the security line (experienced engineer + security review).</w:t>
            </w:r>
          </w:p>
        </w:tc>
      </w:tr>
    </w:tbl>
    <w:p>
      <w:pPr>
        <w:spacing w:after="160"/>
      </w:pPr>
      <w:r>
        <w:rPr>
          <w:sz w:val="2"/>
          <w:szCs w:val="2"/>
        </w:rPr>
        <w:t xml:space="preserve"/>
      </w:r>
    </w:p>
    <w:p>
      <w:pPr>
        <w:spacing w:after="140" w:line="280"/>
      </w:pPr>
      <w:r>
        <w:rPr>
          <w:sz w:val="21"/>
          <w:szCs w:val="21"/>
        </w:rPr>
        <w:t xml:space="preserve">Assumptions in this document are marked </w:t>
      </w:r>
      <w:r>
        <w:rPr>
          <w:b/>
          <w:bCs/>
          <w:sz w:val="21"/>
          <w:szCs w:val="21"/>
        </w:rPr>
        <w:t xml:space="preserve">[ASSUMPTION]</w:t>
      </w:r>
      <w:r>
        <w:rPr>
          <w:sz w:val="21"/>
          <w:szCs w:val="21"/>
        </w:rPr>
        <w:t xml:space="preserve">. The tier names, KYC thresholds, and stage boundaries are proposals — the anchor firm should be able to redline them, because they carry the professional risk on what a verification means.</w:t>
      </w:r>
    </w:p>
    <w:p>
      <w:pPr>
        <w:pStyle w:val="Heading1"/>
        <w:spacing w:after="160" w:before="360"/>
      </w:pPr>
      <w:r>
        <w:rPr>
          <w:b/>
          <w:bCs/>
          <w:color w:val="1F4E5F"/>
          <w:sz w:val="30"/>
          <w:szCs w:val="30"/>
        </w:rPr>
        <w:t xml:space="preserve">Part One — Onboarding</w:t>
      </w:r>
    </w:p>
    <w:p>
      <w:pPr>
        <w:pStyle w:val="Heading2"/>
        <w:spacing w:after="120" w:before="260"/>
      </w:pPr>
      <w:r>
        <w:rPr>
          <w:b/>
          <w:bCs/>
          <w:color w:val="1F4E5F"/>
          <w:sz w:val="24"/>
          <w:szCs w:val="24"/>
        </w:rPr>
        <w:t xml:space="preserve">The governing rule</w:t>
      </w:r>
    </w:p>
    <w:p>
      <w:pPr>
        <w:pBdr>
          <w:left w:val="single" w:color="1F4E5F" w:sz="18" w:space="12"/>
        </w:pBdr>
        <w:spacing w:after="200" w:before="160" w:line="300"/>
        <w:ind w:left="504"/>
      </w:pPr>
      <w:r>
        <w:rPr>
          <w:i/>
          <w:iCs/>
          <w:color w:val="2A2A2A"/>
          <w:sz w:val="23"/>
          <w:szCs w:val="23"/>
        </w:rPr>
        <w:t xml:space="preserve">Light KYC to browse. Full KYC to transact.</w:t>
      </w:r>
    </w:p>
    <w:p>
      <w:pPr>
        <w:spacing w:after="140" w:line="280"/>
      </w:pPr>
      <w:r>
        <w:rPr>
          <w:sz w:val="21"/>
          <w:szCs w:val="21"/>
        </w:rPr>
        <w:t xml:space="preserve">Nigerians will abandon an app that demands a NIN before showing a single photo. Equally, no serious verification can rest on an anonymous account. Unö resolves this by gating action, not access: browsing, saving, and searching are near-frictionless; contacting an agent, booking an inspection, listing a property, or moving through a transaction milestone each raise the identity bar one step.</w:t>
      </w:r>
    </w:p>
    <w:p>
      <w:pPr>
        <w:spacing w:after="140" w:line="280"/>
      </w:pPr>
      <w:r>
        <w:rPr>
          <w:sz w:val="21"/>
          <w:szCs w:val="21"/>
        </w:rPr>
        <w:t xml:space="preserve">Every escalation is asked for at the moment it is needed, with a plain sentence explaining why. Never a wall of forms at signup.</w:t>
      </w:r>
    </w:p>
    <w:p>
      <w:pPr>
        <w:pStyle w:val="Heading2"/>
        <w:spacing w:after="120" w:before="260"/>
      </w:pPr>
      <w:r>
        <w:rPr>
          <w:b/>
          <w:bCs/>
          <w:color w:val="1F4E5F"/>
          <w:sz w:val="24"/>
          <w:szCs w:val="24"/>
        </w:rPr>
        <w:t xml:space="preserve">Identity levels</w:t>
      </w:r>
    </w:p>
    <w:tbl>
      <w:tblPr>
        <w:tblW w:type="dxa" w:w="8496"/>
        <w:tblBorders>
          <w:top w:val="single" w:color="B8C4CC" w:sz="4"/>
          <w:left w:val="single" w:color="B8C4CC" w:sz="4"/>
          <w:bottom w:val="single" w:color="B8C4CC" w:sz="4"/>
          <w:right w:val="single" w:color="B8C4CC" w:sz="4"/>
          <w:insideH w:val="single" w:color="D5DDE2" w:sz="3"/>
          <w:insideV w:val="single" w:color="D5DDE2" w:sz="3"/>
        </w:tblBorders>
      </w:tblPr>
      <w:tblGrid>
        <w:gridCol w:w="1800"/>
        <w:gridCol w:w="2592"/>
        <w:gridCol w:w="3384"/>
        <w:gridCol w:w="720"/>
      </w:tblGrid>
      <w:tr>
        <w:trPr>
          <w:tblHeader/>
        </w:trPr>
        <w:tc>
          <w:tcPr>
            <w:tcW w:type="dxa" w:w="1800"/>
            <w:shd w:fill="E8EEF1" w:color="auto" w:val="clear"/>
            <w:tcMar>
              <w:top w:type="dxa" w:w="80"/>
              <w:left w:type="dxa" w:w="110"/>
              <w:bottom w:type="dxa" w:w="80"/>
              <w:right w:type="dxa" w:w="110"/>
            </w:tcMar>
          </w:tcPr>
          <w:p>
            <w:pPr>
              <w:spacing w:after="0" w:line="260"/>
            </w:pPr>
            <w:r>
              <w:rPr>
                <w:b/>
                <w:bCs/>
                <w:sz w:val="19"/>
                <w:szCs w:val="19"/>
              </w:rPr>
              <w:t xml:space="preserve">Level</w:t>
            </w:r>
          </w:p>
        </w:tc>
        <w:tc>
          <w:tcPr>
            <w:tcW w:type="dxa" w:w="2592"/>
            <w:shd w:fill="E8EEF1" w:color="auto" w:val="clear"/>
            <w:tcMar>
              <w:top w:type="dxa" w:w="80"/>
              <w:left w:type="dxa" w:w="110"/>
              <w:bottom w:type="dxa" w:w="80"/>
              <w:right w:type="dxa" w:w="110"/>
            </w:tcMar>
          </w:tcPr>
          <w:p>
            <w:pPr>
              <w:spacing w:after="0" w:line="260"/>
            </w:pPr>
            <w:r>
              <w:rPr>
                <w:b/>
                <w:bCs/>
                <w:sz w:val="19"/>
                <w:szCs w:val="19"/>
              </w:rPr>
              <w:t xml:space="preserve">What is collected</w:t>
            </w:r>
          </w:p>
        </w:tc>
        <w:tc>
          <w:tcPr>
            <w:tcW w:type="dxa" w:w="3384"/>
            <w:shd w:fill="E8EEF1" w:color="auto" w:val="clear"/>
            <w:tcMar>
              <w:top w:type="dxa" w:w="80"/>
              <w:left w:type="dxa" w:w="110"/>
              <w:bottom w:type="dxa" w:w="80"/>
              <w:right w:type="dxa" w:w="110"/>
            </w:tcMar>
          </w:tcPr>
          <w:p>
            <w:pPr>
              <w:spacing w:after="0" w:line="260"/>
            </w:pPr>
            <w:r>
              <w:rPr>
                <w:b/>
                <w:bCs/>
                <w:sz w:val="19"/>
                <w:szCs w:val="19"/>
              </w:rPr>
              <w:t xml:space="preserve">What it unlocks</w:t>
            </w:r>
          </w:p>
        </w:tc>
        <w:tc>
          <w:tcPr>
            <w:tcW w:type="dxa" w:w="720"/>
            <w:shd w:fill="E8EEF1" w:color="auto" w:val="clear"/>
            <w:tcMar>
              <w:top w:type="dxa" w:w="80"/>
              <w:left w:type="dxa" w:w="110"/>
              <w:bottom w:type="dxa" w:w="80"/>
              <w:right w:type="dxa" w:w="110"/>
            </w:tcMar>
          </w:tcPr>
          <w:p>
            <w:pPr>
              <w:spacing w:after="0" w:line="260"/>
            </w:pPr>
            <w:r>
              <w:rPr>
                <w:b/>
                <w:bCs/>
                <w:sz w:val="19"/>
                <w:szCs w:val="19"/>
              </w:rPr>
              <w:t xml:space="preserve">Phase</w:t>
            </w:r>
          </w:p>
        </w:tc>
      </w:tr>
      <w:tr>
        <w:tc>
          <w:tcPr>
            <w:tcW w:type="dxa" w:w="1800"/>
            <w:tcMar>
              <w:top w:type="dxa" w:w="80"/>
              <w:left w:type="dxa" w:w="110"/>
              <w:bottom w:type="dxa" w:w="80"/>
              <w:right w:type="dxa" w:w="110"/>
            </w:tcMar>
          </w:tcPr>
          <w:p>
            <w:pPr>
              <w:spacing w:after="0" w:line="260"/>
            </w:pPr>
            <w:r>
              <w:rPr>
                <w:b/>
                <w:bCs/>
                <w:sz w:val="19"/>
                <w:szCs w:val="19"/>
              </w:rPr>
              <w:t xml:space="preserve">L0 — Anonymous</w:t>
            </w:r>
          </w:p>
        </w:tc>
        <w:tc>
          <w:tcPr>
            <w:tcW w:type="dxa" w:w="2592"/>
            <w:tcMar>
              <w:top w:type="dxa" w:w="80"/>
              <w:left w:type="dxa" w:w="110"/>
              <w:bottom w:type="dxa" w:w="80"/>
              <w:right w:type="dxa" w:w="110"/>
            </w:tcMar>
          </w:tcPr>
          <w:p>
            <w:pPr>
              <w:spacing w:after="0" w:line="260"/>
            </w:pPr>
            <w:r>
              <w:rPr>
                <w:b w:val="false"/>
                <w:bCs w:val="false"/>
                <w:sz w:val="19"/>
                <w:szCs w:val="19"/>
              </w:rPr>
              <w:t xml:space="preserve">Nothing. Device-local only.</w:t>
            </w:r>
          </w:p>
        </w:tc>
        <w:tc>
          <w:tcPr>
            <w:tcW w:type="dxa" w:w="3384"/>
            <w:tcMar>
              <w:top w:type="dxa" w:w="80"/>
              <w:left w:type="dxa" w:w="110"/>
              <w:bottom w:type="dxa" w:w="80"/>
              <w:right w:type="dxa" w:w="110"/>
            </w:tcMar>
          </w:tcPr>
          <w:p>
            <w:pPr>
              <w:spacing w:after="0" w:line="260"/>
            </w:pPr>
            <w:r>
              <w:rPr>
                <w:b w:val="false"/>
                <w:bCs w:val="false"/>
                <w:sz w:val="19"/>
                <w:szCs w:val="19"/>
              </w:rPr>
              <w:t xml:space="preserve">Browse listings, search, view Trust Panel, view fee ledger. Saved items held locally on device.</w:t>
            </w:r>
          </w:p>
        </w:tc>
        <w:tc>
          <w:tcPr>
            <w:tcW w:type="dxa" w:w="720"/>
            <w:tcMar>
              <w:top w:type="dxa" w:w="80"/>
              <w:left w:type="dxa" w:w="110"/>
              <w:bottom w:type="dxa" w:w="80"/>
              <w:right w:type="dxa" w:w="110"/>
            </w:tcMar>
          </w:tcPr>
          <w:p>
            <w:pPr>
              <w:spacing w:after="0" w:line="260"/>
            </w:pPr>
            <w:r>
              <w:rPr>
                <w:b w:val="false"/>
                <w:bCs w:val="false"/>
                <w:sz w:val="19"/>
                <w:szCs w:val="19"/>
              </w:rPr>
              <w:t xml:space="preserve">1</w:t>
            </w:r>
          </w:p>
        </w:tc>
      </w:tr>
      <w:tr>
        <w:tc>
          <w:tcPr>
            <w:tcW w:type="dxa" w:w="1800"/>
            <w:tcMar>
              <w:top w:type="dxa" w:w="80"/>
              <w:left w:type="dxa" w:w="110"/>
              <w:bottom w:type="dxa" w:w="80"/>
              <w:right w:type="dxa" w:w="110"/>
            </w:tcMar>
          </w:tcPr>
          <w:p>
            <w:pPr>
              <w:spacing w:after="0" w:line="260"/>
            </w:pPr>
            <w:r>
              <w:rPr>
                <w:b/>
                <w:bCs/>
                <w:sz w:val="19"/>
                <w:szCs w:val="19"/>
              </w:rPr>
              <w:t xml:space="preserve">L1 — Light KYC</w:t>
            </w:r>
          </w:p>
        </w:tc>
        <w:tc>
          <w:tcPr>
            <w:tcW w:type="dxa" w:w="2592"/>
            <w:tcMar>
              <w:top w:type="dxa" w:w="80"/>
              <w:left w:type="dxa" w:w="110"/>
              <w:bottom w:type="dxa" w:w="80"/>
              <w:right w:type="dxa" w:w="110"/>
            </w:tcMar>
          </w:tcPr>
          <w:p>
            <w:pPr>
              <w:spacing w:after="0" w:line="260"/>
            </w:pPr>
            <w:r>
              <w:rPr>
                <w:b w:val="false"/>
                <w:bCs w:val="false"/>
                <w:sz w:val="19"/>
                <w:szCs w:val="19"/>
              </w:rPr>
              <w:t xml:space="preserve">Phone number (OTP) + email. Display name.</w:t>
            </w:r>
          </w:p>
        </w:tc>
        <w:tc>
          <w:tcPr>
            <w:tcW w:type="dxa" w:w="3384"/>
            <w:tcMar>
              <w:top w:type="dxa" w:w="80"/>
              <w:left w:type="dxa" w:w="110"/>
              <w:bottom w:type="dxa" w:w="80"/>
              <w:right w:type="dxa" w:w="110"/>
            </w:tcMar>
          </w:tcPr>
          <w:p>
            <w:pPr>
              <w:spacing w:after="0" w:line="260"/>
            </w:pPr>
            <w:r>
              <w:rPr>
                <w:b w:val="false"/>
                <w:bCs w:val="false"/>
                <w:sz w:val="19"/>
                <w:szCs w:val="19"/>
              </w:rPr>
              <w:t xml:space="preserve">Save listings and searches across devices, set alerts, follow estates, receive WhatsApp notifications.</w:t>
            </w:r>
          </w:p>
        </w:tc>
        <w:tc>
          <w:tcPr>
            <w:tcW w:type="dxa" w:w="720"/>
            <w:tcMar>
              <w:top w:type="dxa" w:w="80"/>
              <w:left w:type="dxa" w:w="110"/>
              <w:bottom w:type="dxa" w:w="80"/>
              <w:right w:type="dxa" w:w="110"/>
            </w:tcMar>
          </w:tcPr>
          <w:p>
            <w:pPr>
              <w:spacing w:after="0" w:line="260"/>
            </w:pPr>
            <w:r>
              <w:rPr>
                <w:b w:val="false"/>
                <w:bCs w:val="false"/>
                <w:sz w:val="19"/>
                <w:szCs w:val="19"/>
              </w:rPr>
              <w:t xml:space="preserve">1</w:t>
            </w:r>
          </w:p>
        </w:tc>
      </w:tr>
      <w:tr>
        <w:tc>
          <w:tcPr>
            <w:tcW w:type="dxa" w:w="1800"/>
            <w:tcMar>
              <w:top w:type="dxa" w:w="80"/>
              <w:left w:type="dxa" w:w="110"/>
              <w:bottom w:type="dxa" w:w="80"/>
              <w:right w:type="dxa" w:w="110"/>
            </w:tcMar>
          </w:tcPr>
          <w:p>
            <w:pPr>
              <w:spacing w:after="0" w:line="260"/>
            </w:pPr>
            <w:r>
              <w:rPr>
                <w:b/>
                <w:bCs/>
                <w:sz w:val="19"/>
                <w:szCs w:val="19"/>
              </w:rPr>
              <w:t xml:space="preserve">L2 — Verified identity</w:t>
            </w:r>
          </w:p>
        </w:tc>
        <w:tc>
          <w:tcPr>
            <w:tcW w:type="dxa" w:w="2592"/>
            <w:tcMar>
              <w:top w:type="dxa" w:w="80"/>
              <w:left w:type="dxa" w:w="110"/>
              <w:bottom w:type="dxa" w:w="80"/>
              <w:right w:type="dxa" w:w="110"/>
            </w:tcMar>
          </w:tcPr>
          <w:p>
            <w:pPr>
              <w:spacing w:after="0" w:line="260"/>
            </w:pPr>
            <w:r>
              <w:rPr>
                <w:b w:val="false"/>
                <w:bCs w:val="false"/>
                <w:sz w:val="19"/>
                <w:szCs w:val="19"/>
              </w:rPr>
              <w:t xml:space="preserve">NIN or BVN via licensed KYC provider (Smile ID / Dojah). Selfie liveness check.</w:t>
            </w:r>
          </w:p>
        </w:tc>
        <w:tc>
          <w:tcPr>
            <w:tcW w:type="dxa" w:w="3384"/>
            <w:tcMar>
              <w:top w:type="dxa" w:w="80"/>
              <w:left w:type="dxa" w:w="110"/>
              <w:bottom w:type="dxa" w:w="80"/>
              <w:right w:type="dxa" w:w="110"/>
            </w:tcMar>
          </w:tcPr>
          <w:p>
            <w:pPr>
              <w:spacing w:after="0" w:line="260"/>
            </w:pPr>
            <w:r>
              <w:rPr>
                <w:b w:val="false"/>
                <w:bCs w:val="false"/>
                <w:sz w:val="19"/>
                <w:szCs w:val="19"/>
              </w:rPr>
              <w:t xml:space="preserve">Contact an agent, book an inspection, submit a listing enquiry, leave a review.</w:t>
            </w:r>
          </w:p>
        </w:tc>
        <w:tc>
          <w:tcPr>
            <w:tcW w:type="dxa" w:w="720"/>
            <w:tcMar>
              <w:top w:type="dxa" w:w="80"/>
              <w:left w:type="dxa" w:w="110"/>
              <w:bottom w:type="dxa" w:w="80"/>
              <w:right w:type="dxa" w:w="110"/>
            </w:tcMar>
          </w:tcPr>
          <w:p>
            <w:pPr>
              <w:spacing w:after="0" w:line="260"/>
            </w:pPr>
            <w:r>
              <w:rPr>
                <w:b w:val="false"/>
                <w:bCs w:val="false"/>
                <w:sz w:val="19"/>
                <w:szCs w:val="19"/>
              </w:rPr>
              <w:t xml:space="preserve">1</w:t>
            </w:r>
          </w:p>
        </w:tc>
      </w:tr>
      <w:tr>
        <w:tc>
          <w:tcPr>
            <w:tcW w:type="dxa" w:w="1800"/>
            <w:tcMar>
              <w:top w:type="dxa" w:w="80"/>
              <w:left w:type="dxa" w:w="110"/>
              <w:bottom w:type="dxa" w:w="80"/>
              <w:right w:type="dxa" w:w="110"/>
            </w:tcMar>
          </w:tcPr>
          <w:p>
            <w:pPr>
              <w:spacing w:after="0" w:line="260"/>
            </w:pPr>
            <w:r>
              <w:rPr>
                <w:b/>
                <w:bCs/>
                <w:sz w:val="19"/>
                <w:szCs w:val="19"/>
              </w:rPr>
              <w:t xml:space="preserve">L3 — Transacting party</w:t>
            </w:r>
          </w:p>
        </w:tc>
        <w:tc>
          <w:tcPr>
            <w:tcW w:type="dxa" w:w="2592"/>
            <w:tcMar>
              <w:top w:type="dxa" w:w="80"/>
              <w:left w:type="dxa" w:w="110"/>
              <w:bottom w:type="dxa" w:w="80"/>
              <w:right w:type="dxa" w:w="110"/>
            </w:tcMar>
          </w:tcPr>
          <w:p>
            <w:pPr>
              <w:spacing w:after="0" w:line="260"/>
            </w:pPr>
            <w:r>
              <w:rPr>
                <w:b w:val="false"/>
                <w:bCs w:val="false"/>
                <w:sz w:val="19"/>
                <w:szCs w:val="19"/>
              </w:rPr>
              <w:t xml:space="preserve">L2 plus proof of address, source-of-funds declaration where thresholds require.</w:t>
            </w:r>
          </w:p>
        </w:tc>
        <w:tc>
          <w:tcPr>
            <w:tcW w:type="dxa" w:w="3384"/>
            <w:tcMar>
              <w:top w:type="dxa" w:w="80"/>
              <w:left w:type="dxa" w:w="110"/>
              <w:bottom w:type="dxa" w:w="80"/>
              <w:right w:type="dxa" w:w="110"/>
            </w:tcMar>
          </w:tcPr>
          <w:p>
            <w:pPr>
              <w:spacing w:after="0" w:line="260"/>
            </w:pPr>
            <w:r>
              <w:rPr>
                <w:b w:val="false"/>
                <w:bCs w:val="false"/>
                <w:sz w:val="19"/>
                <w:szCs w:val="19"/>
              </w:rPr>
              <w:t xml:space="preserve">Enter a gated transaction, sign contracts, move money through escrow.</w:t>
            </w:r>
          </w:p>
        </w:tc>
        <w:tc>
          <w:tcPr>
            <w:tcW w:type="dxa" w:w="720"/>
            <w:tcMar>
              <w:top w:type="dxa" w:w="80"/>
              <w:left w:type="dxa" w:w="110"/>
              <w:bottom w:type="dxa" w:w="80"/>
              <w:right w:type="dxa" w:w="110"/>
            </w:tcMar>
          </w:tcPr>
          <w:p>
            <w:pPr>
              <w:spacing w:after="0" w:line="260"/>
            </w:pPr>
            <w:r>
              <w:rPr>
                <w:b w:val="false"/>
                <w:bCs w:val="false"/>
                <w:sz w:val="19"/>
                <w:szCs w:val="19"/>
              </w:rPr>
              <w:t xml:space="preserve">2+</w:t>
            </w:r>
          </w:p>
        </w:tc>
      </w:tr>
      <w:tr>
        <w:tc>
          <w:tcPr>
            <w:tcW w:type="dxa" w:w="1800"/>
            <w:tcMar>
              <w:top w:type="dxa" w:w="80"/>
              <w:left w:type="dxa" w:w="110"/>
              <w:bottom w:type="dxa" w:w="80"/>
              <w:right w:type="dxa" w:w="110"/>
            </w:tcMar>
          </w:tcPr>
          <w:p>
            <w:pPr>
              <w:spacing w:after="0" w:line="260"/>
            </w:pPr>
            <w:r>
              <w:rPr>
                <w:b/>
                <w:bCs/>
                <w:sz w:val="19"/>
                <w:szCs w:val="19"/>
              </w:rPr>
              <w:t xml:space="preserve">L4 — Professional</w:t>
            </w:r>
          </w:p>
        </w:tc>
        <w:tc>
          <w:tcPr>
            <w:tcW w:type="dxa" w:w="2592"/>
            <w:tcMar>
              <w:top w:type="dxa" w:w="80"/>
              <w:left w:type="dxa" w:w="110"/>
              <w:bottom w:type="dxa" w:w="80"/>
              <w:right w:type="dxa" w:w="110"/>
            </w:tcMar>
          </w:tcPr>
          <w:p>
            <w:pPr>
              <w:spacing w:after="0" w:line="260"/>
            </w:pPr>
            <w:r>
              <w:rPr>
                <w:b w:val="false"/>
                <w:bCs w:val="false"/>
                <w:sz w:val="19"/>
                <w:szCs w:val="19"/>
              </w:rPr>
              <w:t xml:space="preserve">L2 plus CAC registration, ESVARBON / NIESV credentials where applicable, firm affiliation, professional indemnity where held.</w:t>
            </w:r>
          </w:p>
        </w:tc>
        <w:tc>
          <w:tcPr>
            <w:tcW w:type="dxa" w:w="3384"/>
            <w:tcMar>
              <w:top w:type="dxa" w:w="80"/>
              <w:left w:type="dxa" w:w="110"/>
              <w:bottom w:type="dxa" w:w="80"/>
              <w:right w:type="dxa" w:w="110"/>
            </w:tcMar>
          </w:tcPr>
          <w:p>
            <w:pPr>
              <w:spacing w:after="0" w:line="260"/>
            </w:pPr>
            <w:r>
              <w:rPr>
                <w:b w:val="false"/>
                <w:bCs w:val="false"/>
                <w:sz w:val="19"/>
                <w:szCs w:val="19"/>
              </w:rPr>
              <w:t xml:space="preserve">List properties, appear in agent directory, receive leads, access agent CRM.</w:t>
            </w:r>
          </w:p>
        </w:tc>
        <w:tc>
          <w:tcPr>
            <w:tcW w:type="dxa" w:w="720"/>
            <w:tcMar>
              <w:top w:type="dxa" w:w="80"/>
              <w:left w:type="dxa" w:w="110"/>
              <w:bottom w:type="dxa" w:w="80"/>
              <w:right w:type="dxa" w:w="110"/>
            </w:tcMar>
          </w:tcPr>
          <w:p>
            <w:pPr>
              <w:spacing w:after="0" w:line="260"/>
            </w:pPr>
            <w:r>
              <w:rPr>
                <w:b w:val="false"/>
                <w:bCs w:val="false"/>
                <w:sz w:val="19"/>
                <w:szCs w:val="19"/>
              </w:rPr>
              <w:t xml:space="preserve">1</w:t>
            </w:r>
          </w:p>
        </w:tc>
      </w:tr>
    </w:tbl>
    <w:p>
      <w:pPr>
        <w:spacing w:after="160"/>
      </w:pPr>
      <w:r>
        <w:rPr>
          <w:sz w:val="2"/>
          <w:szCs w:val="2"/>
        </w:rPr>
        <w:t xml:space="preserve"/>
      </w:r>
    </w:p>
    <w:p>
      <w:pPr>
        <w:spacing w:after="140" w:line="280"/>
      </w:pPr>
      <w:r>
        <w:rPr>
          <w:b/>
          <w:bCs/>
          <w:sz w:val="21"/>
          <w:szCs w:val="21"/>
        </w:rPr>
        <w:t xml:space="preserve">[ASSUMPTION] </w:t>
      </w:r>
      <w:r>
        <w:rPr>
          <w:sz w:val="21"/>
          <w:szCs w:val="21"/>
        </w:rPr>
        <w:t xml:space="preserve">L2 is required to contact an agent. This is a deliberate friction point and the most debatable choice in this doc — it protects agents from time-wasters and fraud, but it will cost some top-of-funnel. Worth A/B testing once volume exists. The alternative is L1 to contact, L2 to book an inspection.</w:t>
      </w:r>
    </w:p>
    <w:p>
      <w:pPr>
        <w:spacing w:after="140" w:line="280"/>
      </w:pPr>
      <w:r>
        <w:rPr>
          <w:b/>
          <w:bCs/>
          <w:sz w:val="21"/>
          <w:szCs w:val="21"/>
        </w:rPr>
        <w:t xml:space="preserve">Diaspora note: </w:t>
      </w:r>
      <w:r>
        <w:rPr>
          <w:sz w:val="21"/>
          <w:szCs w:val="21"/>
        </w:rPr>
        <w:t xml:space="preserve">many diaspora users hold a NIN but not a BVN, or neither if they have lived abroad for years. The KYC adapter must accept international passport plus proof of address as an L2-equivalent path, or Unö locks out its highest-value segment. Flag this to the KYC provider during selection.</w:t>
      </w:r>
    </w:p>
    <w:p>
      <w:pPr>
        <w:pStyle w:val="Heading2"/>
        <w:spacing w:after="120" w:before="260"/>
      </w:pPr>
      <w:r>
        <w:rPr>
          <w:b/>
          <w:bCs/>
          <w:color w:val="1F4E5F"/>
          <w:sz w:val="24"/>
          <w:szCs w:val="24"/>
        </w:rPr>
        <w:t xml:space="preserve">Buyer / renter onboarding</w:t>
      </w:r>
    </w:p>
    <w:p>
      <w:pPr>
        <w:spacing w:after="140" w:line="280"/>
      </w:pPr>
      <w:r>
        <w:rPr>
          <w:i/>
          <w:iCs/>
          <w:sz w:val="21"/>
          <w:szCs w:val="21"/>
        </w:rPr>
        <w:t xml:space="preserve">Goal: get to a relevant listing in under sixty seconds, on a bad connection, without an account.</w:t>
      </w:r>
    </w:p>
    <w:p>
      <w:pPr>
        <w:pStyle w:val="Heading3"/>
        <w:spacing w:after="100" w:before="200"/>
      </w:pPr>
      <w:r>
        <w:rPr>
          <w:b/>
          <w:bCs/>
          <w:color w:val="333333"/>
          <w:sz w:val="21"/>
          <w:szCs w:val="21"/>
        </w:rPr>
        <w:t xml:space="preserve">Flow</w:t>
      </w:r>
    </w:p>
    <w:p>
      <w:pPr>
        <w:pStyle w:val="ListParagraph"/>
        <w:numPr>
          <w:ilvl w:val="0"/>
          <w:numId w:val="2"/>
        </w:numPr>
        <w:spacing w:after="90" w:line="280"/>
      </w:pPr>
      <w:r>
        <w:rPr>
          <w:b/>
          <w:bCs/>
          <w:sz w:val="21"/>
          <w:szCs w:val="21"/>
        </w:rPr>
        <w:t xml:space="preserve">Open app → straight to search. </w:t>
      </w:r>
      <w:r>
        <w:rPr>
          <w:sz w:val="21"/>
          <w:szCs w:val="21"/>
        </w:rPr>
        <w:t xml:space="preserve">No signup wall, no carousel of marketing screens. Location permission is offered, not demanded; declining falls back to a city picker (Abuja / Lagos).</w:t>
      </w:r>
    </w:p>
    <w:p>
      <w:pPr>
        <w:pStyle w:val="ListParagraph"/>
        <w:numPr>
          <w:ilvl w:val="0"/>
          <w:numId w:val="2"/>
        </w:numPr>
        <w:spacing w:after="90" w:line="280"/>
      </w:pPr>
      <w:r>
        <w:rPr>
          <w:b/>
          <w:bCs/>
          <w:sz w:val="21"/>
          <w:szCs w:val="21"/>
        </w:rPr>
        <w:t xml:space="preserve">Intent selector. </w:t>
      </w:r>
      <w:r>
        <w:rPr>
          <w:sz w:val="21"/>
          <w:szCs w:val="21"/>
        </w:rPr>
        <w:t xml:space="preserve">One tap: Buy · Rent · Short-let · Land · Off-plan. This sets the entire downstream experience, including how prices are quoted and which fees appear in the ledger.</w:t>
      </w:r>
    </w:p>
    <w:p>
      <w:pPr>
        <w:pStyle w:val="ListParagraph"/>
        <w:numPr>
          <w:ilvl w:val="0"/>
          <w:numId w:val="2"/>
        </w:numPr>
        <w:spacing w:after="90" w:line="280"/>
      </w:pPr>
      <w:r>
        <w:rPr>
          <w:b/>
          <w:bCs/>
          <w:sz w:val="21"/>
          <w:szCs w:val="21"/>
        </w:rPr>
        <w:t xml:space="preserve">Landmark-first search. </w:t>
      </w:r>
      <w:r>
        <w:rPr>
          <w:sz w:val="21"/>
          <w:szCs w:val="21"/>
        </w:rPr>
        <w:t xml:space="preserve">Typo-tolerant autocomplete over the curated gazetteer of estates, districts, and landmarks. "Gwarinpa", "behind Shoprite Jabi", "Lekki Phase 1" — not street addresses.</w:t>
      </w:r>
    </w:p>
    <w:p>
      <w:pPr>
        <w:pStyle w:val="ListParagraph"/>
        <w:numPr>
          <w:ilvl w:val="0"/>
          <w:numId w:val="2"/>
        </w:numPr>
        <w:spacing w:after="90" w:line="280"/>
      </w:pPr>
      <w:r>
        <w:rPr>
          <w:b/>
          <w:bCs/>
          <w:sz w:val="21"/>
          <w:szCs w:val="21"/>
        </w:rPr>
        <w:t xml:space="preserve">Results, verified-first. </w:t>
      </w:r>
      <w:r>
        <w:rPr>
          <w:sz w:val="21"/>
          <w:szCs w:val="21"/>
        </w:rPr>
        <w:t xml:space="preserve">Verification tier is visible on every card before the user taps anything. The trust filter row sits above the results, defaulted to verified-first.</w:t>
      </w:r>
    </w:p>
    <w:p>
      <w:pPr>
        <w:pStyle w:val="ListParagraph"/>
        <w:numPr>
          <w:ilvl w:val="0"/>
          <w:numId w:val="2"/>
        </w:numPr>
        <w:spacing w:after="90" w:line="280"/>
      </w:pPr>
      <w:r>
        <w:rPr>
          <w:b/>
          <w:bCs/>
          <w:sz w:val="21"/>
          <w:szCs w:val="21"/>
        </w:rPr>
        <w:t xml:space="preserve">Listing detail. </w:t>
      </w:r>
      <w:r>
        <w:rPr>
          <w:sz w:val="21"/>
          <w:szCs w:val="21"/>
        </w:rPr>
        <w:t xml:space="preserve">Trust Panel above the fold. Total Cost of Acquisition ledger immediately below. Photos, then everything else.</w:t>
      </w:r>
    </w:p>
    <w:p>
      <w:pPr>
        <w:pStyle w:val="ListParagraph"/>
        <w:numPr>
          <w:ilvl w:val="0"/>
          <w:numId w:val="2"/>
        </w:numPr>
        <w:spacing w:after="90" w:line="280"/>
      </w:pPr>
      <w:r>
        <w:rPr>
          <w:b/>
          <w:bCs/>
          <w:sz w:val="21"/>
          <w:szCs w:val="21"/>
        </w:rPr>
        <w:t xml:space="preserve">First save → L1 prompt. </w:t>
      </w:r>
      <w:r>
        <w:rPr>
          <w:sz w:val="21"/>
          <w:szCs w:val="21"/>
        </w:rPr>
        <w:t xml:space="preserve">"Save this so you don’t lose it — we’ll just need your number." OTP, done. No password.</w:t>
      </w:r>
    </w:p>
    <w:p>
      <w:pPr>
        <w:pStyle w:val="ListParagraph"/>
        <w:numPr>
          <w:ilvl w:val="0"/>
          <w:numId w:val="2"/>
        </w:numPr>
        <w:spacing w:after="90" w:line="280"/>
      </w:pPr>
      <w:r>
        <w:rPr>
          <w:b/>
          <w:bCs/>
          <w:sz w:val="21"/>
          <w:szCs w:val="21"/>
        </w:rPr>
        <w:t xml:space="preserve">First contact or inspection booking → L2 prompt. </w:t>
      </w:r>
      <w:r>
        <w:rPr>
          <w:sz w:val="21"/>
          <w:szCs w:val="21"/>
        </w:rPr>
        <w:t xml:space="preserve">"Agents on Unö only deal with verified people. It takes about a minute and protects you too." NIN/BVN + liveness.</w:t>
      </w:r>
    </w:p>
    <w:p>
      <w:pPr>
        <w:pStyle w:val="ListParagraph"/>
        <w:numPr>
          <w:ilvl w:val="0"/>
          <w:numId w:val="2"/>
        </w:numPr>
        <w:spacing w:after="90" w:line="280"/>
      </w:pPr>
      <w:r>
        <w:rPr>
          <w:b/>
          <w:bCs/>
          <w:sz w:val="21"/>
          <w:szCs w:val="21"/>
        </w:rPr>
        <w:t xml:space="preserve">Channel preference. </w:t>
      </w:r>
      <w:r>
        <w:rPr>
          <w:sz w:val="21"/>
          <w:szCs w:val="21"/>
        </w:rPr>
        <w:t xml:space="preserve">Ask once, at L1: WhatsApp, push, or both. Default WhatsApp. This is where Nigerians actually read messages.</w:t>
      </w:r>
    </w:p>
    <w:p>
      <w:pPr>
        <w:pStyle w:val="Heading3"/>
        <w:spacing w:after="100" w:before="200"/>
      </w:pPr>
      <w:r>
        <w:rPr>
          <w:b/>
          <w:bCs/>
          <w:color w:val="333333"/>
          <w:sz w:val="21"/>
          <w:szCs w:val="21"/>
        </w:rPr>
        <w:t xml:space="preserve">What the buyer is taught along the way</w:t>
      </w:r>
    </w:p>
    <w:p>
      <w:pPr>
        <w:spacing w:after="140" w:line="280"/>
      </w:pPr>
      <w:r>
        <w:rPr>
          <w:sz w:val="21"/>
          <w:szCs w:val="21"/>
        </w:rPr>
        <w:t xml:space="preserve">Onboarding is also education. Most Nigerian buyers do not know a Letter of Allocation is materially weaker than a Certificate of Occupancy. Unö teaches this inline, at the moment it matters, not in a help centre nobody opens:</w:t>
      </w:r>
    </w:p>
    <w:p>
      <w:pPr>
        <w:pStyle w:val="ListParagraph"/>
        <w:numPr>
          <w:ilvl w:val="0"/>
          <w:numId w:val="3"/>
        </w:numPr>
        <w:spacing w:after="90" w:line="280"/>
      </w:pPr>
      <w:r>
        <w:rPr>
          <w:sz w:val="21"/>
          <w:szCs w:val="21"/>
        </w:rPr>
        <w:t xml:space="preserve">First time a user views a listing with a weaker title type, a one-line plain-language explainer appears next to the title, expandable for detail.</w:t>
      </w:r>
    </w:p>
    <w:p>
      <w:pPr>
        <w:pStyle w:val="ListParagraph"/>
        <w:numPr>
          <w:ilvl w:val="0"/>
          <w:numId w:val="3"/>
        </w:numPr>
        <w:spacing w:after="90" w:line="280"/>
      </w:pPr>
      <w:r>
        <w:rPr>
          <w:sz w:val="21"/>
          <w:szCs w:val="21"/>
        </w:rPr>
        <w:t xml:space="preserve">First time a user opens the fee ledger, a short note explains why the headline price is not the real cost.</w:t>
      </w:r>
    </w:p>
    <w:p>
      <w:pPr>
        <w:pStyle w:val="ListParagraph"/>
        <w:numPr>
          <w:ilvl w:val="0"/>
          <w:numId w:val="3"/>
        </w:numPr>
        <w:spacing w:after="90" w:line="280"/>
      </w:pPr>
      <w:r>
        <w:rPr>
          <w:sz w:val="21"/>
          <w:szCs w:val="21"/>
        </w:rPr>
        <w:t xml:space="preserve">First time a user sees an unverified listing, the badge explains what has and has not been checked.</w:t>
      </w:r>
    </w:p>
    <w:p>
      <w:pPr>
        <w:spacing w:after="140" w:line="280"/>
      </w:pPr>
      <w:r>
        <w:rPr>
          <w:sz w:val="21"/>
          <w:szCs w:val="21"/>
        </w:rPr>
        <w:t xml:space="preserve">This is cheap to build and it is the highest-leverage trust marketing Unö has. A buyer who learns the difference between a C of O and a Letter of Allocation </w:t>
      </w:r>
      <w:r>
        <w:rPr>
          <w:i/>
          <w:iCs/>
          <w:sz w:val="21"/>
          <w:szCs w:val="21"/>
        </w:rPr>
        <w:t xml:space="preserve">from Unö</w:t>
      </w:r>
      <w:r>
        <w:rPr>
          <w:sz w:val="21"/>
          <w:szCs w:val="21"/>
        </w:rPr>
        <w:t xml:space="preserve"> does not go back to a noticeboard.</w:t>
      </w:r>
    </w:p>
    <w:p>
      <w:pPr>
        <w:pStyle w:val="Heading2"/>
        <w:spacing w:after="120" w:before="260"/>
      </w:pPr>
      <w:r>
        <w:rPr>
          <w:b/>
          <w:bCs/>
          <w:color w:val="1F4E5F"/>
          <w:sz w:val="24"/>
          <w:szCs w:val="24"/>
        </w:rPr>
        <w:t xml:space="preserve">Agent / firm onboarding</w:t>
      </w:r>
    </w:p>
    <w:p>
      <w:pPr>
        <w:spacing w:after="140" w:line="280"/>
      </w:pPr>
      <w:r>
        <w:rPr>
          <w:i/>
          <w:iCs/>
          <w:sz w:val="21"/>
          <w:szCs w:val="21"/>
        </w:rPr>
        <w:t xml:space="preserve">Goal: make being legitimate feel like an advantage, not an audit.</w:t>
      </w:r>
    </w:p>
    <w:p>
      <w:pPr>
        <w:spacing w:after="140" w:line="280"/>
      </w:pPr>
      <w:r>
        <w:rPr>
          <w:sz w:val="21"/>
          <w:szCs w:val="21"/>
        </w:rPr>
        <w:t xml:space="preserve">Framing matters here. The honest Nigerian agent is currently indistinguishable from the fraudulent one, and has quietly resented that for years. Onboarding should read as </w:t>
      </w:r>
      <w:r>
        <w:rPr>
          <w:i/>
          <w:iCs/>
          <w:sz w:val="21"/>
          <w:szCs w:val="21"/>
        </w:rPr>
        <w:t xml:space="preserve">finally, a place where your reputation counts</w:t>
      </w:r>
      <w:r>
        <w:rPr>
          <w:sz w:val="21"/>
          <w:szCs w:val="21"/>
        </w:rPr>
        <w:t xml:space="preserve"> — not as a compliance obstacle.</w:t>
      </w:r>
    </w:p>
    <w:p>
      <w:pPr>
        <w:pStyle w:val="Heading3"/>
        <w:spacing w:after="100" w:before="200"/>
      </w:pPr>
      <w:r>
        <w:rPr>
          <w:b/>
          <w:bCs/>
          <w:color w:val="333333"/>
          <w:sz w:val="21"/>
          <w:szCs w:val="21"/>
        </w:rPr>
        <w:t xml:space="preserve">Flow</w:t>
      </w:r>
    </w:p>
    <w:p>
      <w:pPr>
        <w:pStyle w:val="ListParagraph"/>
        <w:numPr>
          <w:ilvl w:val="0"/>
          <w:numId w:val="2"/>
        </w:numPr>
        <w:spacing w:after="90" w:line="280"/>
      </w:pPr>
      <w:r>
        <w:rPr>
          <w:b/>
          <w:bCs/>
          <w:sz w:val="21"/>
          <w:szCs w:val="21"/>
        </w:rPr>
        <w:t xml:space="preserve">Choose account type. </w:t>
      </w:r>
      <w:r>
        <w:rPr>
          <w:sz w:val="21"/>
          <w:szCs w:val="21"/>
        </w:rPr>
        <w:t xml:space="preserve">Independent agent · Agent within a firm · Firm administrator · Developer. Firm administrators can invite and manage agents under the firm profile.</w:t>
      </w:r>
    </w:p>
    <w:p>
      <w:pPr>
        <w:pStyle w:val="ListParagraph"/>
        <w:numPr>
          <w:ilvl w:val="0"/>
          <w:numId w:val="2"/>
        </w:numPr>
        <w:spacing w:after="90" w:line="280"/>
      </w:pPr>
      <w:r>
        <w:rPr>
          <w:b/>
          <w:bCs/>
          <w:sz w:val="21"/>
          <w:szCs w:val="21"/>
        </w:rPr>
        <w:t xml:space="preserve">L2 identity. </w:t>
      </w:r>
      <w:r>
        <w:rPr>
          <w:sz w:val="21"/>
          <w:szCs w:val="21"/>
        </w:rPr>
        <w:t xml:space="preserve">NIN/BVN + liveness. Same as a buyer. This is the floor.</w:t>
      </w:r>
    </w:p>
    <w:p>
      <w:pPr>
        <w:pStyle w:val="ListParagraph"/>
        <w:numPr>
          <w:ilvl w:val="0"/>
          <w:numId w:val="2"/>
        </w:numPr>
        <w:spacing w:after="90" w:line="280"/>
      </w:pPr>
      <w:r>
        <w:rPr>
          <w:b/>
          <w:bCs/>
          <w:sz w:val="21"/>
          <w:szCs w:val="21"/>
        </w:rPr>
        <w:t xml:space="preserve">L4 professional credentials. </w:t>
      </w:r>
      <w:r>
        <w:rPr>
          <w:sz w:val="21"/>
          <w:szCs w:val="21"/>
        </w:rPr>
        <w:t xml:space="preserve">CAC registration number, ESVARBON / NIESV membership where applicable, firm affiliation, years active, references. Professional indemnity cover recorded where held.</w:t>
      </w:r>
    </w:p>
    <w:p>
      <w:pPr>
        <w:pStyle w:val="ListParagraph"/>
        <w:numPr>
          <w:ilvl w:val="0"/>
          <w:numId w:val="2"/>
        </w:numPr>
        <w:spacing w:after="90" w:line="280"/>
      </w:pPr>
      <w:r>
        <w:rPr>
          <w:b/>
          <w:bCs/>
          <w:sz w:val="21"/>
          <w:szCs w:val="21"/>
        </w:rPr>
        <w:t xml:space="preserve">Admin review. </w:t>
      </w:r>
      <w:r>
        <w:rPr>
          <w:sz w:val="21"/>
          <w:szCs w:val="21"/>
        </w:rPr>
        <w:t xml:space="preserve">A human reviews every professional application in the admin panel. Approve, reject with reason, or request more documents. No auto-approval — the badge means nothing if a script grants it.</w:t>
      </w:r>
    </w:p>
    <w:p>
      <w:pPr>
        <w:pStyle w:val="ListParagraph"/>
        <w:numPr>
          <w:ilvl w:val="0"/>
          <w:numId w:val="2"/>
        </w:numPr>
        <w:spacing w:after="90" w:line="280"/>
      </w:pPr>
      <w:r>
        <w:rPr>
          <w:b/>
          <w:bCs/>
          <w:sz w:val="21"/>
          <w:szCs w:val="21"/>
        </w:rPr>
        <w:t xml:space="preserve">Conduct undertaking. </w:t>
      </w:r>
      <w:r>
        <w:rPr>
          <w:sz w:val="21"/>
          <w:szCs w:val="21"/>
        </w:rPr>
        <w:t xml:space="preserve">Explicit agreement to fee transparency, no off-platform fee demands, no discriminatory listing language, accurate representation of title status. Short, in plain English, signed at onboarding.</w:t>
      </w:r>
    </w:p>
    <w:p>
      <w:pPr>
        <w:pStyle w:val="ListParagraph"/>
        <w:numPr>
          <w:ilvl w:val="0"/>
          <w:numId w:val="2"/>
        </w:numPr>
        <w:spacing w:after="90" w:line="280"/>
      </w:pPr>
      <w:r>
        <w:rPr>
          <w:b/>
          <w:bCs/>
          <w:sz w:val="21"/>
          <w:szCs w:val="21"/>
        </w:rPr>
        <w:t xml:space="preserve">First listing, guided. </w:t>
      </w:r>
      <w:r>
        <w:rPr>
          <w:sz w:val="21"/>
          <w:szCs w:val="21"/>
        </w:rPr>
        <w:t xml:space="preserve">The listing creation flow doubles as training: it asks for title type, documents, and fee breakdown as required fields, so the agent learns Unö’s standard by using it.</w:t>
      </w:r>
    </w:p>
    <w:p>
      <w:pPr>
        <w:pStyle w:val="ListParagraph"/>
        <w:numPr>
          <w:ilvl w:val="0"/>
          <w:numId w:val="2"/>
        </w:numPr>
        <w:spacing w:after="90" w:line="280"/>
      </w:pPr>
      <w:r>
        <w:rPr>
          <w:b/>
          <w:bCs/>
          <w:sz w:val="21"/>
          <w:szCs w:val="21"/>
        </w:rPr>
        <w:t xml:space="preserve">Badge issued. </w:t>
      </w:r>
      <w:r>
        <w:rPr>
          <w:sz w:val="21"/>
          <w:szCs w:val="21"/>
        </w:rPr>
        <w:t xml:space="preserve">Verification tier appears on the agent profile and on every listing they hold. Track record accumulates from here: verified listings, completed inspections, response time, dispute history.</w:t>
      </w:r>
    </w:p>
    <w:p>
      <w:pPr>
        <w:pStyle w:val="Heading3"/>
        <w:spacing w:after="100" w:before="200"/>
      </w:pPr>
      <w:r>
        <w:rPr>
          <w:b/>
          <w:bCs/>
          <w:color w:val="333333"/>
          <w:sz w:val="21"/>
          <w:szCs w:val="21"/>
        </w:rPr>
        <w:t xml:space="preserve">Firm onboarding</w:t>
      </w:r>
    </w:p>
    <w:p>
      <w:pPr>
        <w:spacing w:after="140" w:line="280"/>
      </w:pPr>
      <w:r>
        <w:rPr>
          <w:sz w:val="21"/>
          <w:szCs w:val="21"/>
        </w:rPr>
        <w:t xml:space="preserve">Nigeria is firm-centric. People trust </w:t>
      </w:r>
      <w:r>
        <w:rPr>
          <w:i/>
          <w:iCs/>
          <w:sz w:val="21"/>
          <w:szCs w:val="21"/>
        </w:rPr>
        <w:t xml:space="preserve">J.U. Uzor &amp; Associates</w:t>
      </w:r>
      <w:r>
        <w:rPr>
          <w:sz w:val="21"/>
          <w:szCs w:val="21"/>
        </w:rPr>
        <w:t xml:space="preserve"> before they trust an individual agent, and the anchor partnership depends on this being handled well. A firm gets:</w:t>
      </w:r>
    </w:p>
    <w:p>
      <w:pPr>
        <w:pStyle w:val="ListParagraph"/>
        <w:numPr>
          <w:ilvl w:val="0"/>
          <w:numId w:val="3"/>
        </w:numPr>
        <w:spacing w:after="90" w:line="280"/>
      </w:pPr>
      <w:r>
        <w:rPr>
          <w:sz w:val="21"/>
          <w:szCs w:val="21"/>
        </w:rPr>
        <w:t xml:space="preserve">A branded profile page carrying the firm’s name, credentials, and full inventory.</w:t>
      </w:r>
    </w:p>
    <w:p>
      <w:pPr>
        <w:pStyle w:val="ListParagraph"/>
        <w:numPr>
          <w:ilvl w:val="0"/>
          <w:numId w:val="3"/>
        </w:numPr>
        <w:spacing w:after="90" w:line="280"/>
      </w:pPr>
      <w:r>
        <w:rPr>
          <w:sz w:val="21"/>
          <w:szCs w:val="21"/>
        </w:rPr>
        <w:t xml:space="preserve">Agent seats under the firm, with the firm administrator able to invite, suspend, and reassign listings.</w:t>
      </w:r>
    </w:p>
    <w:p>
      <w:pPr>
        <w:pStyle w:val="ListParagraph"/>
        <w:numPr>
          <w:ilvl w:val="0"/>
          <w:numId w:val="3"/>
        </w:numPr>
        <w:spacing w:after="90" w:line="280"/>
      </w:pPr>
      <w:r>
        <w:rPr>
          <w:sz w:val="21"/>
          <w:szCs w:val="21"/>
        </w:rPr>
        <w:t xml:space="preserve">Firm-level verification, so a new agent joining an already-verified firm inherits a faster review path rather than starting cold.</w:t>
      </w:r>
    </w:p>
    <w:p>
      <w:pPr>
        <w:pStyle w:val="ListParagraph"/>
        <w:numPr>
          <w:ilvl w:val="0"/>
          <w:numId w:val="3"/>
        </w:numPr>
        <w:spacing w:after="90" w:line="280"/>
      </w:pPr>
      <w:r>
        <w:rPr>
          <w:sz w:val="21"/>
          <w:szCs w:val="21"/>
        </w:rPr>
        <w:t xml:space="preserve">Where the firm performs verifications: attribution on the Trust Panel — "Registry check by J.U. Uzor &amp; Associates" — appearing on every listing they clear.</w:t>
      </w:r>
    </w:p>
    <w:p>
      <w:pPr>
        <w:spacing w:after="140" w:line="280"/>
      </w:pPr>
      <w:r>
        <w:rPr>
          <w:b/>
          <w:bCs/>
          <w:sz w:val="21"/>
          <w:szCs w:val="21"/>
        </w:rPr>
        <w:t xml:space="preserve">[ASSUMPTION] </w:t>
      </w:r>
      <w:r>
        <w:rPr>
          <w:sz w:val="21"/>
          <w:szCs w:val="21"/>
        </w:rPr>
        <w:t xml:space="preserve">Inherited verification for agents at a verified firm shortens review but does not skip identity checks. Every individual still completes L2 personally. The firm vouches for competence, not identity.</w:t>
      </w:r>
    </w:p>
    <w:p>
      <w:pPr>
        <w:pStyle w:val="Heading2"/>
        <w:spacing w:after="120" w:before="260"/>
      </w:pPr>
      <w:r>
        <w:rPr>
          <w:b/>
          <w:bCs/>
          <w:color w:val="1F4E5F"/>
          <w:sz w:val="24"/>
          <w:szCs w:val="24"/>
        </w:rPr>
        <w:t xml:space="preserve">Admin / internal onboarding</w:t>
      </w:r>
    </w:p>
    <w:p>
      <w:pPr>
        <w:spacing w:after="140" w:line="280"/>
      </w:pPr>
      <w:r>
        <w:rPr>
          <w:i/>
          <w:iCs/>
          <w:sz w:val="21"/>
          <w:szCs w:val="21"/>
        </w:rPr>
        <w:t xml:space="preserve">Goal: a small ops team can run verification, fraud triage, and disputes without touching the database directly.</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1872"/>
        <w:gridCol w:w="2448"/>
        <w:gridCol w:w="5040"/>
      </w:tblGrid>
      <w:tr>
        <w:trPr>
          <w:tblHeader/>
        </w:trPr>
        <w:tc>
          <w:tcPr>
            <w:tcW w:type="dxa" w:w="1872"/>
            <w:shd w:fill="E8EEF1" w:color="auto" w:val="clear"/>
            <w:tcMar>
              <w:top w:type="dxa" w:w="80"/>
              <w:left w:type="dxa" w:w="110"/>
              <w:bottom w:type="dxa" w:w="80"/>
              <w:right w:type="dxa" w:w="110"/>
            </w:tcMar>
          </w:tcPr>
          <w:p>
            <w:pPr>
              <w:spacing w:after="0" w:line="260"/>
            </w:pPr>
            <w:r>
              <w:rPr>
                <w:b/>
                <w:bCs/>
                <w:sz w:val="19"/>
                <w:szCs w:val="19"/>
              </w:rPr>
              <w:t xml:space="preserve">Role</w:t>
            </w:r>
          </w:p>
        </w:tc>
        <w:tc>
          <w:tcPr>
            <w:tcW w:type="dxa" w:w="2448"/>
            <w:shd w:fill="E8EEF1" w:color="auto" w:val="clear"/>
            <w:tcMar>
              <w:top w:type="dxa" w:w="80"/>
              <w:left w:type="dxa" w:w="110"/>
              <w:bottom w:type="dxa" w:w="80"/>
              <w:right w:type="dxa" w:w="110"/>
            </w:tcMar>
          </w:tcPr>
          <w:p>
            <w:pPr>
              <w:spacing w:after="0" w:line="260"/>
            </w:pPr>
            <w:r>
              <w:rPr>
                <w:b/>
                <w:bCs/>
                <w:sz w:val="19"/>
                <w:szCs w:val="19"/>
              </w:rPr>
              <w:t xml:space="preserve">Who holds it</w:t>
            </w:r>
          </w:p>
        </w:tc>
        <w:tc>
          <w:tcPr>
            <w:tcW w:type="dxa" w:w="5040"/>
            <w:shd w:fill="E8EEF1" w:color="auto" w:val="clear"/>
            <w:tcMar>
              <w:top w:type="dxa" w:w="80"/>
              <w:left w:type="dxa" w:w="110"/>
              <w:bottom w:type="dxa" w:w="80"/>
              <w:right w:type="dxa" w:w="110"/>
            </w:tcMar>
          </w:tcPr>
          <w:p>
            <w:pPr>
              <w:spacing w:after="0" w:line="260"/>
            </w:pPr>
            <w:r>
              <w:rPr>
                <w:b/>
                <w:bCs/>
                <w:sz w:val="19"/>
                <w:szCs w:val="19"/>
              </w:rPr>
              <w:t xml:space="preserve">Can do</w:t>
            </w:r>
          </w:p>
        </w:tc>
      </w:tr>
      <w:tr>
        <w:tc>
          <w:tcPr>
            <w:tcW w:type="dxa" w:w="1872"/>
            <w:tcMar>
              <w:top w:type="dxa" w:w="80"/>
              <w:left w:type="dxa" w:w="110"/>
              <w:bottom w:type="dxa" w:w="80"/>
              <w:right w:type="dxa" w:w="110"/>
            </w:tcMar>
          </w:tcPr>
          <w:p>
            <w:pPr>
              <w:spacing w:after="0" w:line="260"/>
            </w:pPr>
            <w:r>
              <w:rPr>
                <w:b/>
                <w:bCs/>
                <w:sz w:val="19"/>
                <w:szCs w:val="19"/>
              </w:rPr>
              <w:t xml:space="preserve">Reviewer</w:t>
            </w:r>
          </w:p>
        </w:tc>
        <w:tc>
          <w:tcPr>
            <w:tcW w:type="dxa" w:w="2448"/>
            <w:tcMar>
              <w:top w:type="dxa" w:w="80"/>
              <w:left w:type="dxa" w:w="110"/>
              <w:bottom w:type="dxa" w:w="80"/>
              <w:right w:type="dxa" w:w="110"/>
            </w:tcMar>
          </w:tcPr>
          <w:p>
            <w:pPr>
              <w:spacing w:after="0" w:line="260"/>
            </w:pPr>
            <w:r>
              <w:rPr>
                <w:b w:val="false"/>
                <w:bCs w:val="false"/>
                <w:sz w:val="19"/>
                <w:szCs w:val="19"/>
              </w:rPr>
              <w:t xml:space="preserve">Ops staff</w:t>
            </w:r>
          </w:p>
        </w:tc>
        <w:tc>
          <w:tcPr>
            <w:tcW w:type="dxa" w:w="5040"/>
            <w:tcMar>
              <w:top w:type="dxa" w:w="80"/>
              <w:left w:type="dxa" w:w="110"/>
              <w:bottom w:type="dxa" w:w="80"/>
              <w:right w:type="dxa" w:w="110"/>
            </w:tcMar>
          </w:tcPr>
          <w:p>
            <w:pPr>
              <w:spacing w:after="0" w:line="260"/>
            </w:pPr>
            <w:r>
              <w:rPr>
                <w:b w:val="false"/>
                <w:bCs w:val="false"/>
                <w:sz w:val="19"/>
                <w:szCs w:val="19"/>
              </w:rPr>
              <w:t xml:space="preserve">Work the verification queue: review agent applications and listing documents, approve, reject with reason, request more information.</w:t>
            </w:r>
          </w:p>
        </w:tc>
      </w:tr>
      <w:tr>
        <w:tc>
          <w:tcPr>
            <w:tcW w:type="dxa" w:w="1872"/>
            <w:tcMar>
              <w:top w:type="dxa" w:w="80"/>
              <w:left w:type="dxa" w:w="110"/>
              <w:bottom w:type="dxa" w:w="80"/>
              <w:right w:type="dxa" w:w="110"/>
            </w:tcMar>
          </w:tcPr>
          <w:p>
            <w:pPr>
              <w:spacing w:after="0" w:line="260"/>
            </w:pPr>
            <w:r>
              <w:rPr>
                <w:b/>
                <w:bCs/>
                <w:sz w:val="19"/>
                <w:szCs w:val="19"/>
              </w:rPr>
              <w:t xml:space="preserve">Verifier (legal)</w:t>
            </w:r>
          </w:p>
        </w:tc>
        <w:tc>
          <w:tcPr>
            <w:tcW w:type="dxa" w:w="2448"/>
            <w:tcMar>
              <w:top w:type="dxa" w:w="80"/>
              <w:left w:type="dxa" w:w="110"/>
              <w:bottom w:type="dxa" w:w="80"/>
              <w:right w:type="dxa" w:w="110"/>
            </w:tcMar>
          </w:tcPr>
          <w:p>
            <w:pPr>
              <w:spacing w:after="0" w:line="260"/>
            </w:pPr>
            <w:r>
              <w:rPr>
                <w:b w:val="false"/>
                <w:bCs w:val="false"/>
                <w:sz w:val="19"/>
                <w:szCs w:val="19"/>
              </w:rPr>
              <w:t xml:space="preserve">Anchor firm solicitors / AEGIS</w:t>
            </w:r>
          </w:p>
        </w:tc>
        <w:tc>
          <w:tcPr>
            <w:tcW w:type="dxa" w:w="5040"/>
            <w:tcMar>
              <w:top w:type="dxa" w:w="80"/>
              <w:left w:type="dxa" w:w="110"/>
              <w:bottom w:type="dxa" w:w="80"/>
              <w:right w:type="dxa" w:w="110"/>
            </w:tcMar>
          </w:tcPr>
          <w:p>
            <w:pPr>
              <w:spacing w:after="0" w:line="260"/>
            </w:pPr>
            <w:r>
              <w:rPr>
                <w:b w:val="false"/>
                <w:bCs w:val="false"/>
                <w:sz w:val="19"/>
                <w:szCs w:val="19"/>
              </w:rPr>
              <w:t xml:space="preserve">Record registry check outcomes, set title-type risk labelling, attach the verifying solicitor’s name, assign or refuse the Registry-Verified tier.</w:t>
            </w:r>
          </w:p>
        </w:tc>
      </w:tr>
      <w:tr>
        <w:tc>
          <w:tcPr>
            <w:tcW w:type="dxa" w:w="1872"/>
            <w:tcMar>
              <w:top w:type="dxa" w:w="80"/>
              <w:left w:type="dxa" w:w="110"/>
              <w:bottom w:type="dxa" w:w="80"/>
              <w:right w:type="dxa" w:w="110"/>
            </w:tcMar>
          </w:tcPr>
          <w:p>
            <w:pPr>
              <w:spacing w:after="0" w:line="260"/>
            </w:pPr>
            <w:r>
              <w:rPr>
                <w:b/>
                <w:bCs/>
                <w:sz w:val="19"/>
                <w:szCs w:val="19"/>
              </w:rPr>
              <w:t xml:space="preserve">Fraud analyst</w:t>
            </w:r>
          </w:p>
        </w:tc>
        <w:tc>
          <w:tcPr>
            <w:tcW w:type="dxa" w:w="2448"/>
            <w:tcMar>
              <w:top w:type="dxa" w:w="80"/>
              <w:left w:type="dxa" w:w="110"/>
              <w:bottom w:type="dxa" w:w="80"/>
              <w:right w:type="dxa" w:w="110"/>
            </w:tcMar>
          </w:tcPr>
          <w:p>
            <w:pPr>
              <w:spacing w:after="0" w:line="260"/>
            </w:pPr>
            <w:r>
              <w:rPr>
                <w:b w:val="false"/>
                <w:bCs w:val="false"/>
                <w:sz w:val="19"/>
                <w:szCs w:val="19"/>
              </w:rPr>
              <w:t xml:space="preserve">Ops staff</w:t>
            </w:r>
          </w:p>
        </w:tc>
        <w:tc>
          <w:tcPr>
            <w:tcW w:type="dxa" w:w="5040"/>
            <w:tcMar>
              <w:top w:type="dxa" w:w="80"/>
              <w:left w:type="dxa" w:w="110"/>
              <w:bottom w:type="dxa" w:w="80"/>
              <w:right w:type="dxa" w:w="110"/>
            </w:tcMar>
          </w:tcPr>
          <w:p>
            <w:pPr>
              <w:spacing w:after="0" w:line="260"/>
            </w:pPr>
            <w:r>
              <w:rPr>
                <w:b w:val="false"/>
                <w:bCs w:val="false"/>
                <w:sz w:val="19"/>
                <w:szCs w:val="19"/>
              </w:rPr>
              <w:t xml:space="preserve">Work the flagged queue: duplicate title numbers, matched photo hashes, acquisition-zone overlaps, pricing anomalies. Suspend listings pending review.</w:t>
            </w:r>
          </w:p>
        </w:tc>
      </w:tr>
      <w:tr>
        <w:tc>
          <w:tcPr>
            <w:tcW w:type="dxa" w:w="1872"/>
            <w:tcMar>
              <w:top w:type="dxa" w:w="80"/>
              <w:left w:type="dxa" w:w="110"/>
              <w:bottom w:type="dxa" w:w="80"/>
              <w:right w:type="dxa" w:w="110"/>
            </w:tcMar>
          </w:tcPr>
          <w:p>
            <w:pPr>
              <w:spacing w:after="0" w:line="260"/>
            </w:pPr>
            <w:r>
              <w:rPr>
                <w:b/>
                <w:bCs/>
                <w:sz w:val="19"/>
                <w:szCs w:val="19"/>
              </w:rPr>
              <w:t xml:space="preserve">Support</w:t>
            </w:r>
          </w:p>
        </w:tc>
        <w:tc>
          <w:tcPr>
            <w:tcW w:type="dxa" w:w="2448"/>
            <w:tcMar>
              <w:top w:type="dxa" w:w="80"/>
              <w:left w:type="dxa" w:w="110"/>
              <w:bottom w:type="dxa" w:w="80"/>
              <w:right w:type="dxa" w:w="110"/>
            </w:tcMar>
          </w:tcPr>
          <w:p>
            <w:pPr>
              <w:spacing w:after="0" w:line="260"/>
            </w:pPr>
            <w:r>
              <w:rPr>
                <w:b w:val="false"/>
                <w:bCs w:val="false"/>
                <w:sz w:val="19"/>
                <w:szCs w:val="19"/>
              </w:rPr>
              <w:t xml:space="preserve">Ops staff</w:t>
            </w:r>
          </w:p>
        </w:tc>
        <w:tc>
          <w:tcPr>
            <w:tcW w:type="dxa" w:w="5040"/>
            <w:tcMar>
              <w:top w:type="dxa" w:w="80"/>
              <w:left w:type="dxa" w:w="110"/>
              <w:bottom w:type="dxa" w:w="80"/>
              <w:right w:type="dxa" w:w="110"/>
            </w:tcMar>
          </w:tcPr>
          <w:p>
            <w:pPr>
              <w:spacing w:after="0" w:line="260"/>
            </w:pPr>
            <w:r>
              <w:rPr>
                <w:b w:val="false"/>
                <w:bCs w:val="false"/>
                <w:sz w:val="19"/>
                <w:szCs w:val="19"/>
              </w:rPr>
              <w:t xml:space="preserve">View user and listing records, respond to reports, escalate. Read-mostly.</w:t>
            </w:r>
          </w:p>
        </w:tc>
      </w:tr>
      <w:tr>
        <w:tc>
          <w:tcPr>
            <w:tcW w:type="dxa" w:w="1872"/>
            <w:tcMar>
              <w:top w:type="dxa" w:w="80"/>
              <w:left w:type="dxa" w:w="110"/>
              <w:bottom w:type="dxa" w:w="80"/>
              <w:right w:type="dxa" w:w="110"/>
            </w:tcMar>
          </w:tcPr>
          <w:p>
            <w:pPr>
              <w:spacing w:after="0" w:line="260"/>
            </w:pPr>
            <w:r>
              <w:rPr>
                <w:b/>
                <w:bCs/>
                <w:sz w:val="19"/>
                <w:szCs w:val="19"/>
              </w:rPr>
              <w:t xml:space="preserve">Administrator</w:t>
            </w:r>
          </w:p>
        </w:tc>
        <w:tc>
          <w:tcPr>
            <w:tcW w:type="dxa" w:w="2448"/>
            <w:tcMar>
              <w:top w:type="dxa" w:w="80"/>
              <w:left w:type="dxa" w:w="110"/>
              <w:bottom w:type="dxa" w:w="80"/>
              <w:right w:type="dxa" w:w="110"/>
            </w:tcMar>
          </w:tcPr>
          <w:p>
            <w:pPr>
              <w:spacing w:after="0" w:line="260"/>
            </w:pPr>
            <w:r>
              <w:rPr>
                <w:b w:val="false"/>
                <w:bCs w:val="false"/>
                <w:sz w:val="19"/>
                <w:szCs w:val="19"/>
              </w:rPr>
              <w:t xml:space="preserve">Founder / technical lead</w:t>
            </w:r>
          </w:p>
        </w:tc>
        <w:tc>
          <w:tcPr>
            <w:tcW w:type="dxa" w:w="5040"/>
            <w:tcMar>
              <w:top w:type="dxa" w:w="80"/>
              <w:left w:type="dxa" w:w="110"/>
              <w:bottom w:type="dxa" w:w="80"/>
              <w:right w:type="dxa" w:w="110"/>
            </w:tcMar>
          </w:tcPr>
          <w:p>
            <w:pPr>
              <w:spacing w:after="0" w:line="260"/>
            </w:pPr>
            <w:r>
              <w:rPr>
                <w:b w:val="false"/>
                <w:bCs w:val="false"/>
                <w:sz w:val="19"/>
                <w:szCs w:val="19"/>
              </w:rPr>
              <w:t xml:space="preserve">All of the above, plus role assignment, tier definitions, gazetteer edits, and audit-log access.</w:t>
            </w:r>
          </w:p>
        </w:tc>
      </w:tr>
    </w:tbl>
    <w:p>
      <w:pPr>
        <w:spacing w:after="160"/>
      </w:pPr>
      <w:r>
        <w:rPr>
          <w:sz w:val="2"/>
          <w:szCs w:val="2"/>
        </w:rPr>
        <w:t xml:space="preserve"/>
      </w:r>
    </w:p>
    <w:p>
      <w:pPr>
        <w:spacing w:after="140" w:line="280"/>
      </w:pPr>
      <w:r>
        <w:rPr>
          <w:b/>
          <w:bCs/>
          <w:sz w:val="21"/>
          <w:szCs w:val="21"/>
        </w:rPr>
        <w:t xml:space="preserve">Non-negotiables for internal access:</w:t>
      </w:r>
    </w:p>
    <w:p>
      <w:pPr>
        <w:pStyle w:val="ListParagraph"/>
        <w:numPr>
          <w:ilvl w:val="0"/>
          <w:numId w:val="3"/>
        </w:numPr>
        <w:spacing w:after="90" w:line="280"/>
      </w:pPr>
      <w:r>
        <w:rPr>
          <w:sz w:val="21"/>
          <w:szCs w:val="21"/>
        </w:rPr>
        <w:t xml:space="preserve">Every admin action is written to an append-only audit log: who, what, when, and the reason given. Verification decisions are legal artifacts and must be reconstructable years later.</w:t>
      </w:r>
    </w:p>
    <w:p>
      <w:pPr>
        <w:pStyle w:val="ListParagraph"/>
        <w:numPr>
          <w:ilvl w:val="0"/>
          <w:numId w:val="3"/>
        </w:numPr>
        <w:spacing w:after="90" w:line="280"/>
      </w:pPr>
      <w:r>
        <w:rPr>
          <w:sz w:val="21"/>
          <w:szCs w:val="21"/>
        </w:rPr>
        <w:t xml:space="preserve">Nobody auto-approves. A machine can flag, queue, rank, and pre-fill. A human decides.</w:t>
      </w:r>
    </w:p>
    <w:p>
      <w:pPr>
        <w:pStyle w:val="ListParagraph"/>
        <w:numPr>
          <w:ilvl w:val="0"/>
          <w:numId w:val="3"/>
        </w:numPr>
        <w:spacing w:after="90" w:line="280"/>
      </w:pPr>
      <w:r>
        <w:rPr>
          <w:sz w:val="21"/>
          <w:szCs w:val="21"/>
        </w:rPr>
        <w:t xml:space="preserve">Two-factor authentication on every internal account, from day one, no exceptions.</w:t>
      </w:r>
    </w:p>
    <w:p>
      <w:pPr>
        <w:pStyle w:val="ListParagraph"/>
        <w:numPr>
          <w:ilvl w:val="0"/>
          <w:numId w:val="3"/>
        </w:numPr>
        <w:spacing w:after="90" w:line="280"/>
      </w:pPr>
      <w:r>
        <w:rPr>
          <w:sz w:val="21"/>
          <w:szCs w:val="21"/>
        </w:rPr>
        <w:t xml:space="preserve">Least privilege by default. Support does not need to approve verifications; reviewers do not need role assignment.</w:t>
      </w:r>
    </w:p>
    <w:p>
      <w:pPr>
        <w:pStyle w:val="Heading2"/>
        <w:spacing w:after="120" w:before="260"/>
      </w:pPr>
      <w:r>
        <w:rPr>
          <w:b/>
          <w:bCs/>
          <w:color w:val="1F4E5F"/>
          <w:sz w:val="24"/>
          <w:szCs w:val="24"/>
        </w:rPr>
        <w:t xml:space="preserve">Verification tiers — the shared vocabulary</w:t>
      </w:r>
    </w:p>
    <w:p>
      <w:pPr>
        <w:spacing w:after="140" w:line="280"/>
      </w:pPr>
      <w:r>
        <w:rPr>
          <w:sz w:val="21"/>
          <w:szCs w:val="21"/>
        </w:rPr>
        <w:t xml:space="preserve">Every part of the product refers back to these tiers: the Trust Panel, search filters, agent profiles, and the transaction gates in Part Two. They need to be defined once, precisely, and never over-claimed.</w:t>
      </w:r>
    </w:p>
    <w:tbl>
      <w:tblPr>
        <w:tblW w:type="dxa" w:w="8640"/>
        <w:tblBorders>
          <w:top w:val="single" w:color="B8C4CC" w:sz="4"/>
          <w:left w:val="single" w:color="B8C4CC" w:sz="4"/>
          <w:bottom w:val="single" w:color="B8C4CC" w:sz="4"/>
          <w:right w:val="single" w:color="B8C4CC" w:sz="4"/>
          <w:insideH w:val="single" w:color="D5DDE2" w:sz="3"/>
          <w:insideV w:val="single" w:color="D5DDE2" w:sz="3"/>
        </w:tblBorders>
      </w:tblPr>
      <w:tblGrid>
        <w:gridCol w:w="1656"/>
        <w:gridCol w:w="3096"/>
        <w:gridCol w:w="3096"/>
        <w:gridCol w:w="792"/>
      </w:tblGrid>
      <w:tr>
        <w:trPr>
          <w:tblHeader/>
        </w:trPr>
        <w:tc>
          <w:tcPr>
            <w:tcW w:type="dxa" w:w="1656"/>
            <w:shd w:fill="E8EEF1" w:color="auto" w:val="clear"/>
            <w:tcMar>
              <w:top w:type="dxa" w:w="80"/>
              <w:left w:type="dxa" w:w="110"/>
              <w:bottom w:type="dxa" w:w="80"/>
              <w:right w:type="dxa" w:w="110"/>
            </w:tcMar>
          </w:tcPr>
          <w:p>
            <w:pPr>
              <w:spacing w:after="0" w:line="260"/>
            </w:pPr>
            <w:r>
              <w:rPr>
                <w:b/>
                <w:bCs/>
                <w:sz w:val="19"/>
                <w:szCs w:val="19"/>
              </w:rPr>
              <w:t xml:space="preserve">Tier</w:t>
            </w:r>
          </w:p>
        </w:tc>
        <w:tc>
          <w:tcPr>
            <w:tcW w:type="dxa" w:w="3096"/>
            <w:shd w:fill="E8EEF1" w:color="auto" w:val="clear"/>
            <w:tcMar>
              <w:top w:type="dxa" w:w="80"/>
              <w:left w:type="dxa" w:w="110"/>
              <w:bottom w:type="dxa" w:w="80"/>
              <w:right w:type="dxa" w:w="110"/>
            </w:tcMar>
          </w:tcPr>
          <w:p>
            <w:pPr>
              <w:spacing w:after="0" w:line="260"/>
            </w:pPr>
            <w:r>
              <w:rPr>
                <w:b/>
                <w:bCs/>
                <w:sz w:val="19"/>
                <w:szCs w:val="19"/>
              </w:rPr>
              <w:t xml:space="preserve">What has actually been checked</w:t>
            </w:r>
          </w:p>
        </w:tc>
        <w:tc>
          <w:tcPr>
            <w:tcW w:type="dxa" w:w="3096"/>
            <w:shd w:fill="E8EEF1" w:color="auto" w:val="clear"/>
            <w:tcMar>
              <w:top w:type="dxa" w:w="80"/>
              <w:left w:type="dxa" w:w="110"/>
              <w:bottom w:type="dxa" w:w="80"/>
              <w:right w:type="dxa" w:w="110"/>
            </w:tcMar>
          </w:tcPr>
          <w:p>
            <w:pPr>
              <w:spacing w:after="0" w:line="260"/>
            </w:pPr>
            <w:r>
              <w:rPr>
                <w:b/>
                <w:bCs/>
                <w:sz w:val="19"/>
                <w:szCs w:val="19"/>
              </w:rPr>
              <w:t xml:space="preserve">What it does NOT warrant</w:t>
            </w:r>
          </w:p>
        </w:tc>
        <w:tc>
          <w:tcPr>
            <w:tcW w:type="dxa" w:w="792"/>
            <w:shd w:fill="E8EEF1" w:color="auto" w:val="clear"/>
            <w:tcMar>
              <w:top w:type="dxa" w:w="80"/>
              <w:left w:type="dxa" w:w="110"/>
              <w:bottom w:type="dxa" w:w="80"/>
              <w:right w:type="dxa" w:w="110"/>
            </w:tcMar>
          </w:tcPr>
          <w:p>
            <w:pPr>
              <w:spacing w:after="0" w:line="260"/>
            </w:pPr>
            <w:r>
              <w:rPr>
                <w:b/>
                <w:bCs/>
                <w:sz w:val="19"/>
                <w:szCs w:val="19"/>
              </w:rPr>
              <w:t xml:space="preserve">Phase</w:t>
            </w:r>
          </w:p>
        </w:tc>
      </w:tr>
      <w:tr>
        <w:tc>
          <w:tcPr>
            <w:tcW w:type="dxa" w:w="1656"/>
            <w:tcMar>
              <w:top w:type="dxa" w:w="80"/>
              <w:left w:type="dxa" w:w="110"/>
              <w:bottom w:type="dxa" w:w="80"/>
              <w:right w:type="dxa" w:w="110"/>
            </w:tcMar>
          </w:tcPr>
          <w:p>
            <w:pPr>
              <w:spacing w:after="0" w:line="260"/>
            </w:pPr>
            <w:r>
              <w:rPr>
                <w:b/>
                <w:bCs/>
                <w:sz w:val="19"/>
                <w:szCs w:val="19"/>
              </w:rPr>
              <w:t xml:space="preserve">Listed</w:t>
            </w:r>
          </w:p>
        </w:tc>
        <w:tc>
          <w:tcPr>
            <w:tcW w:type="dxa" w:w="3096"/>
            <w:tcMar>
              <w:top w:type="dxa" w:w="80"/>
              <w:left w:type="dxa" w:w="110"/>
              <w:bottom w:type="dxa" w:w="80"/>
              <w:right w:type="dxa" w:w="110"/>
            </w:tcMar>
          </w:tcPr>
          <w:p>
            <w:pPr>
              <w:spacing w:after="0" w:line="260"/>
            </w:pPr>
            <w:r>
              <w:rPr>
                <w:b w:val="false"/>
                <w:bCs w:val="false"/>
                <w:sz w:val="19"/>
                <w:szCs w:val="19"/>
              </w:rPr>
              <w:t xml:space="preserve">Nothing beyond a submission from an L2-identified account. Basic automated fraud screening only.</w:t>
            </w:r>
          </w:p>
        </w:tc>
        <w:tc>
          <w:tcPr>
            <w:tcW w:type="dxa" w:w="3096"/>
            <w:tcMar>
              <w:top w:type="dxa" w:w="80"/>
              <w:left w:type="dxa" w:w="110"/>
              <w:bottom w:type="dxa" w:w="80"/>
              <w:right w:type="dxa" w:w="110"/>
            </w:tcMar>
          </w:tcPr>
          <w:p>
            <w:pPr>
              <w:spacing w:after="0" w:line="260"/>
            </w:pPr>
            <w:r>
              <w:rPr>
                <w:b w:val="false"/>
                <w:bCs w:val="false"/>
                <w:sz w:val="19"/>
                <w:szCs w:val="19"/>
              </w:rPr>
              <w:t xml:space="preserve">Anything. The property may not exist. Displayed with an explicit caution.</w:t>
            </w:r>
          </w:p>
        </w:tc>
        <w:tc>
          <w:tcPr>
            <w:tcW w:type="dxa" w:w="792"/>
            <w:tcMar>
              <w:top w:type="dxa" w:w="80"/>
              <w:left w:type="dxa" w:w="110"/>
              <w:bottom w:type="dxa" w:w="80"/>
              <w:right w:type="dxa" w:w="110"/>
            </w:tcMar>
          </w:tcPr>
          <w:p>
            <w:pPr>
              <w:spacing w:after="0" w:line="260"/>
            </w:pPr>
            <w:r>
              <w:rPr>
                <w:b w:val="false"/>
                <w:bCs w:val="false"/>
                <w:sz w:val="19"/>
                <w:szCs w:val="19"/>
              </w:rPr>
              <w:t xml:space="preserve">1</w:t>
            </w:r>
          </w:p>
        </w:tc>
      </w:tr>
      <w:tr>
        <w:tc>
          <w:tcPr>
            <w:tcW w:type="dxa" w:w="1656"/>
            <w:tcMar>
              <w:top w:type="dxa" w:w="80"/>
              <w:left w:type="dxa" w:w="110"/>
              <w:bottom w:type="dxa" w:w="80"/>
              <w:right w:type="dxa" w:w="110"/>
            </w:tcMar>
          </w:tcPr>
          <w:p>
            <w:pPr>
              <w:spacing w:after="0" w:line="260"/>
            </w:pPr>
            <w:r>
              <w:rPr>
                <w:b/>
                <w:bCs/>
                <w:sz w:val="19"/>
                <w:szCs w:val="19"/>
              </w:rPr>
              <w:t xml:space="preserve">Document-Verified</w:t>
            </w:r>
          </w:p>
        </w:tc>
        <w:tc>
          <w:tcPr>
            <w:tcW w:type="dxa" w:w="3096"/>
            <w:tcMar>
              <w:top w:type="dxa" w:w="80"/>
              <w:left w:type="dxa" w:w="110"/>
              <w:bottom w:type="dxa" w:w="80"/>
              <w:right w:type="dxa" w:w="110"/>
            </w:tcMar>
          </w:tcPr>
          <w:p>
            <w:pPr>
              <w:spacing w:after="0" w:line="260"/>
            </w:pPr>
            <w:r>
              <w:rPr>
                <w:b w:val="false"/>
                <w:bCs w:val="false"/>
                <w:sz w:val="19"/>
                <w:szCs w:val="19"/>
              </w:rPr>
              <w:t xml:space="preserve">Title documents supplied and reviewed by a qualified reviewer. Document type identified and risk-labelled. Photos screened for reuse. Agent is L4-verified.</w:t>
            </w:r>
          </w:p>
        </w:tc>
        <w:tc>
          <w:tcPr>
            <w:tcW w:type="dxa" w:w="3096"/>
            <w:tcMar>
              <w:top w:type="dxa" w:w="80"/>
              <w:left w:type="dxa" w:w="110"/>
              <w:bottom w:type="dxa" w:w="80"/>
              <w:right w:type="dxa" w:w="110"/>
            </w:tcMar>
          </w:tcPr>
          <w:p>
            <w:pPr>
              <w:spacing w:after="0" w:line="260"/>
            </w:pPr>
            <w:r>
              <w:rPr>
                <w:b w:val="false"/>
                <w:bCs w:val="false"/>
                <w:sz w:val="19"/>
                <w:szCs w:val="19"/>
              </w:rPr>
              <w:t xml:space="preserve">That the document is genuine at the registry, or that the seller has the right to sell.</w:t>
            </w:r>
          </w:p>
        </w:tc>
        <w:tc>
          <w:tcPr>
            <w:tcW w:type="dxa" w:w="792"/>
            <w:tcMar>
              <w:top w:type="dxa" w:w="80"/>
              <w:left w:type="dxa" w:w="110"/>
              <w:bottom w:type="dxa" w:w="80"/>
              <w:right w:type="dxa" w:w="110"/>
            </w:tcMar>
          </w:tcPr>
          <w:p>
            <w:pPr>
              <w:spacing w:after="0" w:line="260"/>
            </w:pPr>
            <w:r>
              <w:rPr>
                <w:b w:val="false"/>
                <w:bCs w:val="false"/>
                <w:sz w:val="19"/>
                <w:szCs w:val="19"/>
              </w:rPr>
              <w:t xml:space="preserve">1</w:t>
            </w:r>
          </w:p>
        </w:tc>
      </w:tr>
      <w:tr>
        <w:tc>
          <w:tcPr>
            <w:tcW w:type="dxa" w:w="1656"/>
            <w:tcMar>
              <w:top w:type="dxa" w:w="80"/>
              <w:left w:type="dxa" w:w="110"/>
              <w:bottom w:type="dxa" w:w="80"/>
              <w:right w:type="dxa" w:w="110"/>
            </w:tcMar>
          </w:tcPr>
          <w:p>
            <w:pPr>
              <w:spacing w:after="0" w:line="260"/>
            </w:pPr>
            <w:r>
              <w:rPr>
                <w:b/>
                <w:bCs/>
                <w:sz w:val="19"/>
                <w:szCs w:val="19"/>
              </w:rPr>
              <w:t xml:space="preserve">Registry-Verified</w:t>
            </w:r>
          </w:p>
        </w:tc>
        <w:tc>
          <w:tcPr>
            <w:tcW w:type="dxa" w:w="3096"/>
            <w:tcMar>
              <w:top w:type="dxa" w:w="80"/>
              <w:left w:type="dxa" w:w="110"/>
              <w:bottom w:type="dxa" w:w="80"/>
              <w:right w:type="dxa" w:w="110"/>
            </w:tcMar>
          </w:tcPr>
          <w:p>
            <w:pPr>
              <w:spacing w:after="0" w:line="260"/>
            </w:pPr>
            <w:r>
              <w:rPr>
                <w:b w:val="false"/>
                <w:bCs w:val="false"/>
                <w:sz w:val="19"/>
                <w:szCs w:val="19"/>
              </w:rPr>
              <w:t xml:space="preserve">A named solicitor has conducted a registry search and confirmed the title exists, matches the parcel, and is held as claimed. Acquisition-zone overlap checked. Date and verifying firm recorded.</w:t>
            </w:r>
          </w:p>
        </w:tc>
        <w:tc>
          <w:tcPr>
            <w:tcW w:type="dxa" w:w="3096"/>
            <w:tcMar>
              <w:top w:type="dxa" w:w="80"/>
              <w:left w:type="dxa" w:w="110"/>
              <w:bottom w:type="dxa" w:w="80"/>
              <w:right w:type="dxa" w:w="110"/>
            </w:tcMar>
          </w:tcPr>
          <w:p>
            <w:pPr>
              <w:spacing w:after="0" w:line="260"/>
            </w:pPr>
            <w:r>
              <w:rPr>
                <w:b w:val="false"/>
                <w:bCs w:val="false"/>
                <w:sz w:val="19"/>
                <w:szCs w:val="19"/>
              </w:rPr>
              <w:t xml:space="preserve">Future encumbrance, undisclosed family claims, or events after the check date. Every check carries a date and a scope statement.</w:t>
            </w:r>
          </w:p>
        </w:tc>
        <w:tc>
          <w:tcPr>
            <w:tcW w:type="dxa" w:w="792"/>
            <w:tcMar>
              <w:top w:type="dxa" w:w="80"/>
              <w:left w:type="dxa" w:w="110"/>
              <w:bottom w:type="dxa" w:w="80"/>
              <w:right w:type="dxa" w:w="110"/>
            </w:tcMar>
          </w:tcPr>
          <w:p>
            <w:pPr>
              <w:spacing w:after="0" w:line="260"/>
            </w:pPr>
            <w:r>
              <w:rPr>
                <w:b w:val="false"/>
                <w:bCs w:val="false"/>
                <w:sz w:val="19"/>
                <w:szCs w:val="19"/>
              </w:rPr>
              <w:t xml:space="preserve">1</w:t>
            </w:r>
          </w:p>
        </w:tc>
      </w:tr>
      <w:tr>
        <w:tc>
          <w:tcPr>
            <w:tcW w:type="dxa" w:w="1656"/>
            <w:tcMar>
              <w:top w:type="dxa" w:w="80"/>
              <w:left w:type="dxa" w:w="110"/>
              <w:bottom w:type="dxa" w:w="80"/>
              <w:right w:type="dxa" w:w="110"/>
            </w:tcMar>
          </w:tcPr>
          <w:p>
            <w:pPr>
              <w:spacing w:after="0" w:line="260"/>
            </w:pPr>
            <w:r>
              <w:rPr>
                <w:b/>
                <w:bCs/>
                <w:sz w:val="19"/>
                <w:szCs w:val="19"/>
              </w:rPr>
              <w:t xml:space="preserve">Inspection-Certified</w:t>
            </w:r>
          </w:p>
        </w:tc>
        <w:tc>
          <w:tcPr>
            <w:tcW w:type="dxa" w:w="3096"/>
            <w:tcMar>
              <w:top w:type="dxa" w:w="80"/>
              <w:left w:type="dxa" w:w="110"/>
              <w:bottom w:type="dxa" w:w="80"/>
              <w:right w:type="dxa" w:w="110"/>
            </w:tcMar>
          </w:tcPr>
          <w:p>
            <w:pPr>
              <w:spacing w:after="0" w:line="260"/>
            </w:pPr>
            <w:r>
              <w:rPr>
                <w:b w:val="false"/>
                <w:bCs w:val="false"/>
                <w:sz w:val="19"/>
                <w:szCs w:val="19"/>
              </w:rPr>
              <w:t xml:space="preserve">A vetted surveyor has physically attended, photographed, and certified that the property matches the listing. Add-on to any tier above.</w:t>
            </w:r>
          </w:p>
        </w:tc>
        <w:tc>
          <w:tcPr>
            <w:tcW w:type="dxa" w:w="3096"/>
            <w:tcMar>
              <w:top w:type="dxa" w:w="80"/>
              <w:left w:type="dxa" w:w="110"/>
              <w:bottom w:type="dxa" w:w="80"/>
              <w:right w:type="dxa" w:w="110"/>
            </w:tcMar>
          </w:tcPr>
          <w:p>
            <w:pPr>
              <w:spacing w:after="0" w:line="260"/>
            </w:pPr>
            <w:r>
              <w:rPr>
                <w:b w:val="false"/>
                <w:bCs w:val="false"/>
                <w:sz w:val="19"/>
                <w:szCs w:val="19"/>
              </w:rPr>
              <w:t xml:space="preserve">Legal title. This is a physical-reality check, not a legal one.</w:t>
            </w:r>
          </w:p>
        </w:tc>
        <w:tc>
          <w:tcPr>
            <w:tcW w:type="dxa" w:w="792"/>
            <w:tcMar>
              <w:top w:type="dxa" w:w="80"/>
              <w:left w:type="dxa" w:w="110"/>
              <w:bottom w:type="dxa" w:w="80"/>
              <w:right w:type="dxa" w:w="110"/>
            </w:tcMar>
          </w:tcPr>
          <w:p>
            <w:pPr>
              <w:spacing w:after="0" w:line="260"/>
            </w:pPr>
            <w:r>
              <w:rPr>
                <w:b w:val="false"/>
                <w:bCs w:val="false"/>
                <w:sz w:val="19"/>
                <w:szCs w:val="19"/>
              </w:rPr>
              <w:t xml:space="preserve">1</w:t>
            </w:r>
          </w:p>
        </w:tc>
      </w:tr>
      <w:tr>
        <w:tc>
          <w:tcPr>
            <w:tcW w:type="dxa" w:w="1656"/>
            <w:tcMar>
              <w:top w:type="dxa" w:w="80"/>
              <w:left w:type="dxa" w:w="110"/>
              <w:bottom w:type="dxa" w:w="80"/>
              <w:right w:type="dxa" w:w="110"/>
            </w:tcMar>
          </w:tcPr>
          <w:p>
            <w:pPr>
              <w:spacing w:after="0" w:line="260"/>
            </w:pPr>
            <w:r>
              <w:rPr>
                <w:b/>
                <w:bCs/>
                <w:sz w:val="19"/>
                <w:szCs w:val="19"/>
              </w:rPr>
              <w:t xml:space="preserve">Escrow-Enabled</w:t>
            </w:r>
          </w:p>
        </w:tc>
        <w:tc>
          <w:tcPr>
            <w:tcW w:type="dxa" w:w="3096"/>
            <w:tcMar>
              <w:top w:type="dxa" w:w="80"/>
              <w:left w:type="dxa" w:w="110"/>
              <w:bottom w:type="dxa" w:w="80"/>
              <w:right w:type="dxa" w:w="110"/>
            </w:tcMar>
          </w:tcPr>
          <w:p>
            <w:pPr>
              <w:spacing w:after="0" w:line="260"/>
            </w:pPr>
            <w:r>
              <w:rPr>
                <w:b w:val="false"/>
                <w:bCs w:val="false"/>
                <w:sz w:val="19"/>
                <w:szCs w:val="19"/>
              </w:rPr>
              <w:t xml:space="preserve">Registry-Verified, plus the seller has agreed to transact through the licensed escrow partner under gated milestones.</w:t>
            </w:r>
          </w:p>
        </w:tc>
        <w:tc>
          <w:tcPr>
            <w:tcW w:type="dxa" w:w="3096"/>
            <w:tcMar>
              <w:top w:type="dxa" w:w="80"/>
              <w:left w:type="dxa" w:w="110"/>
              <w:bottom w:type="dxa" w:w="80"/>
              <w:right w:type="dxa" w:w="110"/>
            </w:tcMar>
          </w:tcPr>
          <w:p>
            <w:pPr>
              <w:spacing w:after="0" w:line="260"/>
            </w:pPr>
            <w:r>
              <w:rPr>
                <w:b w:val="false"/>
                <w:bCs w:val="false"/>
                <w:sz w:val="19"/>
                <w:szCs w:val="19"/>
              </w:rPr>
              <w:t xml:space="preserve">—</w:t>
            </w:r>
          </w:p>
        </w:tc>
        <w:tc>
          <w:tcPr>
            <w:tcW w:type="dxa" w:w="792"/>
            <w:tcMar>
              <w:top w:type="dxa" w:w="80"/>
              <w:left w:type="dxa" w:w="110"/>
              <w:bottom w:type="dxa" w:w="80"/>
              <w:right w:type="dxa" w:w="110"/>
            </w:tcMar>
          </w:tcPr>
          <w:p>
            <w:pPr>
              <w:spacing w:after="0" w:line="260"/>
            </w:pPr>
            <w:r>
              <w:rPr>
                <w:b w:val="false"/>
                <w:bCs w:val="false"/>
                <w:sz w:val="19"/>
                <w:szCs w:val="19"/>
              </w:rPr>
              <w:t xml:space="preserve">2+</w:t>
            </w:r>
          </w:p>
        </w:tc>
      </w:tr>
    </w:tbl>
    <w:p>
      <w:pPr>
        <w:spacing w:after="160"/>
      </w:pPr>
      <w:r>
        <w:rPr>
          <w:sz w:val="2"/>
          <w:szCs w:val="2"/>
        </w:rPr>
        <w:t xml:space="preserve"/>
      </w:r>
    </w:p>
    <w:p>
      <w:pPr>
        <w:spacing w:after="140" w:line="280"/>
      </w:pPr>
      <w:r>
        <w:rPr>
          <w:b/>
          <w:bCs/>
          <w:sz w:val="21"/>
          <w:szCs w:val="21"/>
        </w:rPr>
        <w:t xml:space="preserve">The discipline that protects the company: </w:t>
      </w:r>
      <w:r>
        <w:rPr>
          <w:sz w:val="21"/>
          <w:szCs w:val="21"/>
        </w:rPr>
        <w:t xml:space="preserve">every tier states its scope and its limits, in the product, in plain language, where the buyer sees it. A verification that quietly implies more than it checked is the single fastest route to the existential risk in the Strategy Roadmap. Under-claim deliberately.</w:t>
      </w:r>
    </w:p>
    <w:p>
      <w:pPr>
        <w:pStyle w:val="Heading1"/>
        <w:spacing w:after="160" w:before="360"/>
      </w:pPr>
      <w:r>
        <w:rPr>
          <w:b/>
          <w:bCs/>
          <w:color w:val="1F4E5F"/>
          <w:sz w:val="30"/>
          <w:szCs w:val="30"/>
        </w:rPr>
        <w:t xml:space="preserve">Part Two — The nine-stage transaction flow</w:t>
      </w:r>
    </w:p>
    <w:p>
      <w:pPr>
        <w:spacing w:after="140" w:line="280"/>
      </w:pPr>
      <w:r>
        <w:rPr>
          <w:sz w:val="21"/>
          <w:szCs w:val="21"/>
        </w:rPr>
        <w:t xml:space="preserve">A Nigerian property transaction has a shape. Unö’s job is to make that shape visible, gate it so the dangerous steps cannot be skipped, and — from Phase 2 — hold money, contract, and title so they move together.</w:t>
      </w:r>
    </w:p>
    <w:p>
      <w:pPr>
        <w:pBdr>
          <w:left w:val="single" w:color="1F4E5F" w:sz="18" w:space="12"/>
        </w:pBdr>
        <w:spacing w:after="200" w:before="160" w:line="300"/>
        <w:ind w:left="504"/>
      </w:pPr>
      <w:r>
        <w:rPr>
          <w:i/>
          <w:iCs/>
          <w:color w:val="2A2A2A"/>
          <w:sz w:val="23"/>
          <w:szCs w:val="23"/>
        </w:rPr>
        <w:t xml:space="preserve">Money, contract, and title move together through gated milestones. Leaving the platform means losing all three protections.</w:t>
      </w:r>
    </w:p>
    <w:p>
      <w:pPr>
        <w:spacing w:after="140" w:line="280"/>
      </w:pPr>
      <w:r>
        <w:rPr>
          <w:sz w:val="21"/>
          <w:szCs w:val="21"/>
        </w:rPr>
        <w:t xml:space="preserve">Stages 1 to 4 are Phase 1: discovery, contact, inspection, and verification. They are everything up to the point where money moves. Stages 5 to 9 are Phase 2 and beyond, behind the security line.</w:t>
      </w:r>
    </w:p>
    <w:p>
      <w:pPr>
        <w:pStyle w:val="Heading2"/>
        <w:spacing w:after="120" w:before="260"/>
      </w:pPr>
      <w:r>
        <w:rPr>
          <w:b/>
          <w:bCs/>
          <w:color w:val="1F4E5F"/>
          <w:sz w:val="24"/>
          <w:szCs w:val="24"/>
        </w:rPr>
        <w:t xml:space="preserve">The flow at a glance</w:t>
      </w:r>
    </w:p>
    <w:tbl>
      <w:tblPr>
        <w:tblW w:type="dxa" w:w="8640"/>
        <w:tblBorders>
          <w:top w:val="single" w:color="B8C4CC" w:sz="4"/>
          <w:left w:val="single" w:color="B8C4CC" w:sz="4"/>
          <w:bottom w:val="single" w:color="B8C4CC" w:sz="4"/>
          <w:right w:val="single" w:color="B8C4CC" w:sz="4"/>
          <w:insideH w:val="single" w:color="D5DDE2" w:sz="3"/>
          <w:insideV w:val="single" w:color="D5DDE2" w:sz="3"/>
        </w:tblBorders>
      </w:tblPr>
      <w:tblGrid>
        <w:gridCol w:w="504"/>
        <w:gridCol w:w="3096"/>
        <w:gridCol w:w="1800"/>
        <w:gridCol w:w="2376"/>
        <w:gridCol w:w="864"/>
      </w:tblGrid>
      <w:tr>
        <w:trPr>
          <w:tblHeader/>
        </w:trPr>
        <w:tc>
          <w:tcPr>
            <w:tcW w:type="dxa" w:w="504"/>
            <w:shd w:fill="E8EEF1" w:color="auto" w:val="clear"/>
            <w:tcMar>
              <w:top w:type="dxa" w:w="80"/>
              <w:left w:type="dxa" w:w="110"/>
              <w:bottom w:type="dxa" w:w="80"/>
              <w:right w:type="dxa" w:w="110"/>
            </w:tcMar>
          </w:tcPr>
          <w:p>
            <w:pPr>
              <w:spacing w:after="0" w:line="260"/>
            </w:pPr>
            <w:r>
              <w:rPr>
                <w:b/>
                <w:bCs/>
                <w:sz w:val="19"/>
                <w:szCs w:val="19"/>
              </w:rPr>
              <w:t xml:space="preserve">#</w:t>
            </w:r>
          </w:p>
        </w:tc>
        <w:tc>
          <w:tcPr>
            <w:tcW w:type="dxa" w:w="3096"/>
            <w:shd w:fill="E8EEF1" w:color="auto" w:val="clear"/>
            <w:tcMar>
              <w:top w:type="dxa" w:w="80"/>
              <w:left w:type="dxa" w:w="110"/>
              <w:bottom w:type="dxa" w:w="80"/>
              <w:right w:type="dxa" w:w="110"/>
            </w:tcMar>
          </w:tcPr>
          <w:p>
            <w:pPr>
              <w:spacing w:after="0" w:line="260"/>
            </w:pPr>
            <w:r>
              <w:rPr>
                <w:b/>
                <w:bCs/>
                <w:sz w:val="19"/>
                <w:szCs w:val="19"/>
              </w:rPr>
              <w:t xml:space="preserve">Stage</w:t>
            </w:r>
          </w:p>
        </w:tc>
        <w:tc>
          <w:tcPr>
            <w:tcW w:type="dxa" w:w="1800"/>
            <w:shd w:fill="E8EEF1" w:color="auto" w:val="clear"/>
            <w:tcMar>
              <w:top w:type="dxa" w:w="80"/>
              <w:left w:type="dxa" w:w="110"/>
              <w:bottom w:type="dxa" w:w="80"/>
              <w:right w:type="dxa" w:w="110"/>
            </w:tcMar>
          </w:tcPr>
          <w:p>
            <w:pPr>
              <w:spacing w:after="0" w:line="260"/>
            </w:pPr>
            <w:r>
              <w:rPr>
                <w:b/>
                <w:bCs/>
                <w:sz w:val="19"/>
                <w:szCs w:val="19"/>
              </w:rPr>
              <w:t xml:space="preserve">Identity level</w:t>
            </w:r>
          </w:p>
        </w:tc>
        <w:tc>
          <w:tcPr>
            <w:tcW w:type="dxa" w:w="2376"/>
            <w:shd w:fill="E8EEF1" w:color="auto" w:val="clear"/>
            <w:tcMar>
              <w:top w:type="dxa" w:w="80"/>
              <w:left w:type="dxa" w:w="110"/>
              <w:bottom w:type="dxa" w:w="80"/>
              <w:right w:type="dxa" w:w="110"/>
            </w:tcMar>
          </w:tcPr>
          <w:p>
            <w:pPr>
              <w:spacing w:after="0" w:line="260"/>
            </w:pPr>
            <w:r>
              <w:rPr>
                <w:b/>
                <w:bCs/>
                <w:sz w:val="19"/>
                <w:szCs w:val="19"/>
              </w:rPr>
              <w:t xml:space="preserve">Money moves</w:t>
            </w:r>
          </w:p>
        </w:tc>
        <w:tc>
          <w:tcPr>
            <w:tcW w:type="dxa" w:w="864"/>
            <w:shd w:fill="E8EEF1" w:color="auto" w:val="clear"/>
            <w:tcMar>
              <w:top w:type="dxa" w:w="80"/>
              <w:left w:type="dxa" w:w="110"/>
              <w:bottom w:type="dxa" w:w="80"/>
              <w:right w:type="dxa" w:w="110"/>
            </w:tcMar>
          </w:tcPr>
          <w:p>
            <w:pPr>
              <w:spacing w:after="0" w:line="260"/>
            </w:pPr>
            <w:r>
              <w:rPr>
                <w:b/>
                <w:bCs/>
                <w:sz w:val="19"/>
                <w:szCs w:val="19"/>
              </w:rPr>
              <w:t xml:space="preserve">Phase</w:t>
            </w:r>
          </w:p>
        </w:tc>
      </w:tr>
      <w:tr>
        <w:tc>
          <w:tcPr>
            <w:tcW w:type="dxa" w:w="504"/>
            <w:shd w:fill="E4F0E6" w:color="auto" w:val="clear"/>
            <w:tcMar>
              <w:top w:type="dxa" w:w="80"/>
              <w:left w:type="dxa" w:w="110"/>
              <w:bottom w:type="dxa" w:w="80"/>
              <w:right w:type="dxa" w:w="110"/>
            </w:tcMar>
          </w:tcPr>
          <w:p>
            <w:pPr>
              <w:spacing w:after="0" w:line="260"/>
            </w:pPr>
            <w:r>
              <w:rPr>
                <w:b/>
                <w:bCs/>
                <w:sz w:val="19"/>
                <w:szCs w:val="19"/>
              </w:rPr>
              <w:t xml:space="preserve">1</w:t>
            </w:r>
          </w:p>
        </w:tc>
        <w:tc>
          <w:tcPr>
            <w:tcW w:type="dxa" w:w="3096"/>
            <w:shd w:fill="E4F0E6" w:color="auto" w:val="clear"/>
            <w:tcMar>
              <w:top w:type="dxa" w:w="80"/>
              <w:left w:type="dxa" w:w="110"/>
              <w:bottom w:type="dxa" w:w="80"/>
              <w:right w:type="dxa" w:w="110"/>
            </w:tcMar>
          </w:tcPr>
          <w:p>
            <w:pPr>
              <w:spacing w:after="0" w:line="260"/>
            </w:pPr>
            <w:r>
              <w:rPr>
                <w:b w:val="false"/>
                <w:bCs w:val="false"/>
                <w:sz w:val="19"/>
                <w:szCs w:val="19"/>
              </w:rPr>
              <w:t xml:space="preserve">Discovery</w:t>
            </w:r>
          </w:p>
        </w:tc>
        <w:tc>
          <w:tcPr>
            <w:tcW w:type="dxa" w:w="1800"/>
            <w:shd w:fill="E4F0E6" w:color="auto" w:val="clear"/>
            <w:tcMar>
              <w:top w:type="dxa" w:w="80"/>
              <w:left w:type="dxa" w:w="110"/>
              <w:bottom w:type="dxa" w:w="80"/>
              <w:right w:type="dxa" w:w="110"/>
            </w:tcMar>
          </w:tcPr>
          <w:p>
            <w:pPr>
              <w:spacing w:after="0" w:line="260"/>
            </w:pPr>
            <w:r>
              <w:rPr>
                <w:b w:val="false"/>
                <w:bCs w:val="false"/>
                <w:sz w:val="19"/>
                <w:szCs w:val="19"/>
              </w:rPr>
              <w:t xml:space="preserve">L0 – L1</w:t>
            </w:r>
          </w:p>
        </w:tc>
        <w:tc>
          <w:tcPr>
            <w:tcW w:type="dxa" w:w="2376"/>
            <w:shd w:fill="E4F0E6" w:color="auto" w:val="clear"/>
            <w:tcMar>
              <w:top w:type="dxa" w:w="80"/>
              <w:left w:type="dxa" w:w="110"/>
              <w:bottom w:type="dxa" w:w="80"/>
              <w:right w:type="dxa" w:w="110"/>
            </w:tcMar>
          </w:tcPr>
          <w:p>
            <w:pPr>
              <w:spacing w:after="0" w:line="260"/>
            </w:pPr>
            <w:r>
              <w:rPr>
                <w:b w:val="false"/>
                <w:bCs w:val="false"/>
                <w:sz w:val="19"/>
                <w:szCs w:val="19"/>
              </w:rPr>
              <w:t xml:space="preserve">No</w:t>
            </w:r>
          </w:p>
        </w:tc>
        <w:tc>
          <w:tcPr>
            <w:tcW w:type="dxa" w:w="864"/>
            <w:shd w:fill="E4F0E6" w:color="auto" w:val="clear"/>
            <w:tcMar>
              <w:top w:type="dxa" w:w="80"/>
              <w:left w:type="dxa" w:w="110"/>
              <w:bottom w:type="dxa" w:w="80"/>
              <w:right w:type="dxa" w:w="110"/>
            </w:tcMar>
          </w:tcPr>
          <w:p>
            <w:pPr>
              <w:spacing w:after="0" w:line="260"/>
            </w:pPr>
            <w:r>
              <w:rPr>
                <w:b w:val="false"/>
                <w:bCs w:val="false"/>
                <w:sz w:val="19"/>
                <w:szCs w:val="19"/>
              </w:rPr>
              <w:t xml:space="preserve">1</w:t>
            </w:r>
          </w:p>
        </w:tc>
      </w:tr>
      <w:tr>
        <w:tc>
          <w:tcPr>
            <w:tcW w:type="dxa" w:w="504"/>
            <w:shd w:fill="E4F0E6" w:color="auto" w:val="clear"/>
            <w:tcMar>
              <w:top w:type="dxa" w:w="80"/>
              <w:left w:type="dxa" w:w="110"/>
              <w:bottom w:type="dxa" w:w="80"/>
              <w:right w:type="dxa" w:w="110"/>
            </w:tcMar>
          </w:tcPr>
          <w:p>
            <w:pPr>
              <w:spacing w:after="0" w:line="260"/>
            </w:pPr>
            <w:r>
              <w:rPr>
                <w:b/>
                <w:bCs/>
                <w:sz w:val="19"/>
                <w:szCs w:val="19"/>
              </w:rPr>
              <w:t xml:space="preserve">2</w:t>
            </w:r>
          </w:p>
        </w:tc>
        <w:tc>
          <w:tcPr>
            <w:tcW w:type="dxa" w:w="3096"/>
            <w:shd w:fill="E4F0E6" w:color="auto" w:val="clear"/>
            <w:tcMar>
              <w:top w:type="dxa" w:w="80"/>
              <w:left w:type="dxa" w:w="110"/>
              <w:bottom w:type="dxa" w:w="80"/>
              <w:right w:type="dxa" w:w="110"/>
            </w:tcMar>
          </w:tcPr>
          <w:p>
            <w:pPr>
              <w:spacing w:after="0" w:line="260"/>
            </w:pPr>
            <w:r>
              <w:rPr>
                <w:b w:val="false"/>
                <w:bCs w:val="false"/>
                <w:sz w:val="19"/>
                <w:szCs w:val="19"/>
              </w:rPr>
              <w:t xml:space="preserve">Contact &amp; qualification</w:t>
            </w:r>
          </w:p>
        </w:tc>
        <w:tc>
          <w:tcPr>
            <w:tcW w:type="dxa" w:w="1800"/>
            <w:shd w:fill="E4F0E6" w:color="auto" w:val="clear"/>
            <w:tcMar>
              <w:top w:type="dxa" w:w="80"/>
              <w:left w:type="dxa" w:w="110"/>
              <w:bottom w:type="dxa" w:w="80"/>
              <w:right w:type="dxa" w:w="110"/>
            </w:tcMar>
          </w:tcPr>
          <w:p>
            <w:pPr>
              <w:spacing w:after="0" w:line="260"/>
            </w:pPr>
            <w:r>
              <w:rPr>
                <w:b w:val="false"/>
                <w:bCs w:val="false"/>
                <w:sz w:val="19"/>
                <w:szCs w:val="19"/>
              </w:rPr>
              <w:t xml:space="preserve">L2</w:t>
            </w:r>
          </w:p>
        </w:tc>
        <w:tc>
          <w:tcPr>
            <w:tcW w:type="dxa" w:w="2376"/>
            <w:shd w:fill="E4F0E6" w:color="auto" w:val="clear"/>
            <w:tcMar>
              <w:top w:type="dxa" w:w="80"/>
              <w:left w:type="dxa" w:w="110"/>
              <w:bottom w:type="dxa" w:w="80"/>
              <w:right w:type="dxa" w:w="110"/>
            </w:tcMar>
          </w:tcPr>
          <w:p>
            <w:pPr>
              <w:spacing w:after="0" w:line="260"/>
            </w:pPr>
            <w:r>
              <w:rPr>
                <w:b w:val="false"/>
                <w:bCs w:val="false"/>
                <w:sz w:val="19"/>
                <w:szCs w:val="19"/>
              </w:rPr>
              <w:t xml:space="preserve">No</w:t>
            </w:r>
          </w:p>
        </w:tc>
        <w:tc>
          <w:tcPr>
            <w:tcW w:type="dxa" w:w="864"/>
            <w:shd w:fill="E4F0E6" w:color="auto" w:val="clear"/>
            <w:tcMar>
              <w:top w:type="dxa" w:w="80"/>
              <w:left w:type="dxa" w:w="110"/>
              <w:bottom w:type="dxa" w:w="80"/>
              <w:right w:type="dxa" w:w="110"/>
            </w:tcMar>
          </w:tcPr>
          <w:p>
            <w:pPr>
              <w:spacing w:after="0" w:line="260"/>
            </w:pPr>
            <w:r>
              <w:rPr>
                <w:b w:val="false"/>
                <w:bCs w:val="false"/>
                <w:sz w:val="19"/>
                <w:szCs w:val="19"/>
              </w:rPr>
              <w:t xml:space="preserve">1</w:t>
            </w:r>
          </w:p>
        </w:tc>
      </w:tr>
      <w:tr>
        <w:tc>
          <w:tcPr>
            <w:tcW w:type="dxa" w:w="504"/>
            <w:shd w:fill="E4F0E6" w:color="auto" w:val="clear"/>
            <w:tcMar>
              <w:top w:type="dxa" w:w="80"/>
              <w:left w:type="dxa" w:w="110"/>
              <w:bottom w:type="dxa" w:w="80"/>
              <w:right w:type="dxa" w:w="110"/>
            </w:tcMar>
          </w:tcPr>
          <w:p>
            <w:pPr>
              <w:spacing w:after="0" w:line="260"/>
            </w:pPr>
            <w:r>
              <w:rPr>
                <w:b/>
                <w:bCs/>
                <w:sz w:val="19"/>
                <w:szCs w:val="19"/>
              </w:rPr>
              <w:t xml:space="preserve">3</w:t>
            </w:r>
          </w:p>
        </w:tc>
        <w:tc>
          <w:tcPr>
            <w:tcW w:type="dxa" w:w="3096"/>
            <w:shd w:fill="E4F0E6" w:color="auto" w:val="clear"/>
            <w:tcMar>
              <w:top w:type="dxa" w:w="80"/>
              <w:left w:type="dxa" w:w="110"/>
              <w:bottom w:type="dxa" w:w="80"/>
              <w:right w:type="dxa" w:w="110"/>
            </w:tcMar>
          </w:tcPr>
          <w:p>
            <w:pPr>
              <w:spacing w:after="0" w:line="260"/>
            </w:pPr>
            <w:r>
              <w:rPr>
                <w:b w:val="false"/>
                <w:bCs w:val="false"/>
                <w:sz w:val="19"/>
                <w:szCs w:val="19"/>
              </w:rPr>
              <w:t xml:space="preserve">Inspection</w:t>
            </w:r>
          </w:p>
        </w:tc>
        <w:tc>
          <w:tcPr>
            <w:tcW w:type="dxa" w:w="1800"/>
            <w:shd w:fill="E4F0E6" w:color="auto" w:val="clear"/>
            <w:tcMar>
              <w:top w:type="dxa" w:w="80"/>
              <w:left w:type="dxa" w:w="110"/>
              <w:bottom w:type="dxa" w:w="80"/>
              <w:right w:type="dxa" w:w="110"/>
            </w:tcMar>
          </w:tcPr>
          <w:p>
            <w:pPr>
              <w:spacing w:after="0" w:line="260"/>
            </w:pPr>
            <w:r>
              <w:rPr>
                <w:b w:val="false"/>
                <w:bCs w:val="false"/>
                <w:sz w:val="19"/>
                <w:szCs w:val="19"/>
              </w:rPr>
              <w:t xml:space="preserve">L2</w:t>
            </w:r>
          </w:p>
        </w:tc>
        <w:tc>
          <w:tcPr>
            <w:tcW w:type="dxa" w:w="2376"/>
            <w:shd w:fill="E4F0E6" w:color="auto" w:val="clear"/>
            <w:tcMar>
              <w:top w:type="dxa" w:w="80"/>
              <w:left w:type="dxa" w:w="110"/>
              <w:bottom w:type="dxa" w:w="80"/>
              <w:right w:type="dxa" w:w="110"/>
            </w:tcMar>
          </w:tcPr>
          <w:p>
            <w:pPr>
              <w:spacing w:after="0" w:line="260"/>
            </w:pPr>
            <w:r>
              <w:rPr>
                <w:b w:val="false"/>
                <w:bCs w:val="false"/>
                <w:sz w:val="19"/>
                <w:szCs w:val="19"/>
              </w:rPr>
              <w:t xml:space="preserve">Fee to Unö only</w:t>
            </w:r>
          </w:p>
        </w:tc>
        <w:tc>
          <w:tcPr>
            <w:tcW w:type="dxa" w:w="864"/>
            <w:shd w:fill="E4F0E6" w:color="auto" w:val="clear"/>
            <w:tcMar>
              <w:top w:type="dxa" w:w="80"/>
              <w:left w:type="dxa" w:w="110"/>
              <w:bottom w:type="dxa" w:w="80"/>
              <w:right w:type="dxa" w:w="110"/>
            </w:tcMar>
          </w:tcPr>
          <w:p>
            <w:pPr>
              <w:spacing w:after="0" w:line="260"/>
            </w:pPr>
            <w:r>
              <w:rPr>
                <w:b w:val="false"/>
                <w:bCs w:val="false"/>
                <w:sz w:val="19"/>
                <w:szCs w:val="19"/>
              </w:rPr>
              <w:t xml:space="preserve">1</w:t>
            </w:r>
          </w:p>
        </w:tc>
      </w:tr>
      <w:tr>
        <w:tc>
          <w:tcPr>
            <w:tcW w:type="dxa" w:w="504"/>
            <w:shd w:fill="E4F0E6" w:color="auto" w:val="clear"/>
            <w:tcMar>
              <w:top w:type="dxa" w:w="80"/>
              <w:left w:type="dxa" w:w="110"/>
              <w:bottom w:type="dxa" w:w="80"/>
              <w:right w:type="dxa" w:w="110"/>
            </w:tcMar>
          </w:tcPr>
          <w:p>
            <w:pPr>
              <w:spacing w:after="0" w:line="260"/>
            </w:pPr>
            <w:r>
              <w:rPr>
                <w:b/>
                <w:bCs/>
                <w:sz w:val="19"/>
                <w:szCs w:val="19"/>
              </w:rPr>
              <w:t xml:space="preserve">4</w:t>
            </w:r>
          </w:p>
        </w:tc>
        <w:tc>
          <w:tcPr>
            <w:tcW w:type="dxa" w:w="3096"/>
            <w:shd w:fill="E4F0E6" w:color="auto" w:val="clear"/>
            <w:tcMar>
              <w:top w:type="dxa" w:w="80"/>
              <w:left w:type="dxa" w:w="110"/>
              <w:bottom w:type="dxa" w:w="80"/>
              <w:right w:type="dxa" w:w="110"/>
            </w:tcMar>
          </w:tcPr>
          <w:p>
            <w:pPr>
              <w:spacing w:after="0" w:line="260"/>
            </w:pPr>
            <w:r>
              <w:rPr>
                <w:b w:val="false"/>
                <w:bCs w:val="false"/>
                <w:sz w:val="19"/>
                <w:szCs w:val="19"/>
              </w:rPr>
              <w:t xml:space="preserve">Verification &amp; due diligence</w:t>
            </w:r>
          </w:p>
        </w:tc>
        <w:tc>
          <w:tcPr>
            <w:tcW w:type="dxa" w:w="1800"/>
            <w:shd w:fill="E4F0E6" w:color="auto" w:val="clear"/>
            <w:tcMar>
              <w:top w:type="dxa" w:w="80"/>
              <w:left w:type="dxa" w:w="110"/>
              <w:bottom w:type="dxa" w:w="80"/>
              <w:right w:type="dxa" w:w="110"/>
            </w:tcMar>
          </w:tcPr>
          <w:p>
            <w:pPr>
              <w:spacing w:after="0" w:line="260"/>
            </w:pPr>
            <w:r>
              <w:rPr>
                <w:b w:val="false"/>
                <w:bCs w:val="false"/>
                <w:sz w:val="19"/>
                <w:szCs w:val="19"/>
              </w:rPr>
              <w:t xml:space="preserve">L2</w:t>
            </w:r>
          </w:p>
        </w:tc>
        <w:tc>
          <w:tcPr>
            <w:tcW w:type="dxa" w:w="2376"/>
            <w:shd w:fill="E4F0E6" w:color="auto" w:val="clear"/>
            <w:tcMar>
              <w:top w:type="dxa" w:w="80"/>
              <w:left w:type="dxa" w:w="110"/>
              <w:bottom w:type="dxa" w:w="80"/>
              <w:right w:type="dxa" w:w="110"/>
            </w:tcMar>
          </w:tcPr>
          <w:p>
            <w:pPr>
              <w:spacing w:after="0" w:line="260"/>
            </w:pPr>
            <w:r>
              <w:rPr>
                <w:b w:val="false"/>
                <w:bCs w:val="false"/>
                <w:sz w:val="19"/>
                <w:szCs w:val="19"/>
              </w:rPr>
              <w:t xml:space="preserve">Fee to Unö only</w:t>
            </w:r>
          </w:p>
        </w:tc>
        <w:tc>
          <w:tcPr>
            <w:tcW w:type="dxa" w:w="864"/>
            <w:shd w:fill="E4F0E6" w:color="auto" w:val="clear"/>
            <w:tcMar>
              <w:top w:type="dxa" w:w="80"/>
              <w:left w:type="dxa" w:w="110"/>
              <w:bottom w:type="dxa" w:w="80"/>
              <w:right w:type="dxa" w:w="110"/>
            </w:tcMar>
          </w:tcPr>
          <w:p>
            <w:pPr>
              <w:spacing w:after="0" w:line="260"/>
            </w:pPr>
            <w:r>
              <w:rPr>
                <w:b w:val="false"/>
                <w:bCs w:val="false"/>
                <w:sz w:val="19"/>
                <w:szCs w:val="19"/>
              </w:rPr>
              <w:t xml:space="preserve">1</w:t>
            </w:r>
          </w:p>
        </w:tc>
      </w:tr>
      <w:tr>
        <w:tc>
          <w:tcPr>
            <w:tcW w:type="dxa" w:w="504"/>
            <w:shd w:fill="FBEDE4" w:color="auto" w:val="clear"/>
            <w:tcMar>
              <w:top w:type="dxa" w:w="80"/>
              <w:left w:type="dxa" w:w="110"/>
              <w:bottom w:type="dxa" w:w="80"/>
              <w:right w:type="dxa" w:w="110"/>
            </w:tcMar>
          </w:tcPr>
          <w:p>
            <w:pPr>
              <w:spacing w:after="0" w:line="260"/>
            </w:pPr>
            <w:r>
              <w:rPr>
                <w:b/>
                <w:bCs/>
                <w:sz w:val="19"/>
                <w:szCs w:val="19"/>
              </w:rPr>
              <w:t xml:space="preserve">5</w:t>
            </w:r>
          </w:p>
        </w:tc>
        <w:tc>
          <w:tcPr>
            <w:tcW w:type="dxa" w:w="3096"/>
            <w:shd w:fill="FBEDE4" w:color="auto" w:val="clear"/>
            <w:tcMar>
              <w:top w:type="dxa" w:w="80"/>
              <w:left w:type="dxa" w:w="110"/>
              <w:bottom w:type="dxa" w:w="80"/>
              <w:right w:type="dxa" w:w="110"/>
            </w:tcMar>
          </w:tcPr>
          <w:p>
            <w:pPr>
              <w:spacing w:after="0" w:line="260"/>
            </w:pPr>
            <w:r>
              <w:rPr>
                <w:b w:val="false"/>
                <w:bCs w:val="false"/>
                <w:sz w:val="19"/>
                <w:szCs w:val="19"/>
              </w:rPr>
              <w:t xml:space="preserve">Offer &amp; acceptance</w:t>
            </w:r>
          </w:p>
        </w:tc>
        <w:tc>
          <w:tcPr>
            <w:tcW w:type="dxa" w:w="1800"/>
            <w:shd w:fill="FBEDE4" w:color="auto" w:val="clear"/>
            <w:tcMar>
              <w:top w:type="dxa" w:w="80"/>
              <w:left w:type="dxa" w:w="110"/>
              <w:bottom w:type="dxa" w:w="80"/>
              <w:right w:type="dxa" w:w="110"/>
            </w:tcMar>
          </w:tcPr>
          <w:p>
            <w:pPr>
              <w:spacing w:after="0" w:line="260"/>
            </w:pPr>
            <w:r>
              <w:rPr>
                <w:b w:val="false"/>
                <w:bCs w:val="false"/>
                <w:sz w:val="19"/>
                <w:szCs w:val="19"/>
              </w:rPr>
              <w:t xml:space="preserve">L3</w:t>
            </w:r>
          </w:p>
        </w:tc>
        <w:tc>
          <w:tcPr>
            <w:tcW w:type="dxa" w:w="2376"/>
            <w:shd w:fill="FBEDE4" w:color="auto" w:val="clear"/>
            <w:tcMar>
              <w:top w:type="dxa" w:w="80"/>
              <w:left w:type="dxa" w:w="110"/>
              <w:bottom w:type="dxa" w:w="80"/>
              <w:right w:type="dxa" w:w="110"/>
            </w:tcMar>
          </w:tcPr>
          <w:p>
            <w:pPr>
              <w:spacing w:after="0" w:line="260"/>
            </w:pPr>
            <w:r>
              <w:rPr>
                <w:b w:val="false"/>
                <w:bCs w:val="false"/>
                <w:sz w:val="19"/>
                <w:szCs w:val="19"/>
              </w:rPr>
              <w:t xml:space="preserve">No</w:t>
            </w:r>
          </w:p>
        </w:tc>
        <w:tc>
          <w:tcPr>
            <w:tcW w:type="dxa" w:w="864"/>
            <w:shd w:fill="FBEDE4" w:color="auto" w:val="clear"/>
            <w:tcMar>
              <w:top w:type="dxa" w:w="80"/>
              <w:left w:type="dxa" w:w="110"/>
              <w:bottom w:type="dxa" w:w="80"/>
              <w:right w:type="dxa" w:w="110"/>
            </w:tcMar>
          </w:tcPr>
          <w:p>
            <w:pPr>
              <w:spacing w:after="0" w:line="260"/>
            </w:pPr>
            <w:r>
              <w:rPr>
                <w:b w:val="false"/>
                <w:bCs w:val="false"/>
                <w:sz w:val="19"/>
                <w:szCs w:val="19"/>
              </w:rPr>
              <w:t xml:space="preserve">2+</w:t>
            </w:r>
          </w:p>
        </w:tc>
      </w:tr>
      <w:tr>
        <w:tc>
          <w:tcPr>
            <w:tcW w:type="dxa" w:w="504"/>
            <w:shd w:fill="FBEDE4" w:color="auto" w:val="clear"/>
            <w:tcMar>
              <w:top w:type="dxa" w:w="80"/>
              <w:left w:type="dxa" w:w="110"/>
              <w:bottom w:type="dxa" w:w="80"/>
              <w:right w:type="dxa" w:w="110"/>
            </w:tcMar>
          </w:tcPr>
          <w:p>
            <w:pPr>
              <w:spacing w:after="0" w:line="260"/>
            </w:pPr>
            <w:r>
              <w:rPr>
                <w:b/>
                <w:bCs/>
                <w:sz w:val="19"/>
                <w:szCs w:val="19"/>
              </w:rPr>
              <w:t xml:space="preserve">6</w:t>
            </w:r>
          </w:p>
        </w:tc>
        <w:tc>
          <w:tcPr>
            <w:tcW w:type="dxa" w:w="3096"/>
            <w:shd w:fill="FBEDE4" w:color="auto" w:val="clear"/>
            <w:tcMar>
              <w:top w:type="dxa" w:w="80"/>
              <w:left w:type="dxa" w:w="110"/>
              <w:bottom w:type="dxa" w:w="80"/>
              <w:right w:type="dxa" w:w="110"/>
            </w:tcMar>
          </w:tcPr>
          <w:p>
            <w:pPr>
              <w:spacing w:after="0" w:line="260"/>
            </w:pPr>
            <w:r>
              <w:rPr>
                <w:b w:val="false"/>
                <w:bCs w:val="false"/>
                <w:sz w:val="19"/>
                <w:szCs w:val="19"/>
              </w:rPr>
              <w:t xml:space="preserve">Contract</w:t>
            </w:r>
          </w:p>
        </w:tc>
        <w:tc>
          <w:tcPr>
            <w:tcW w:type="dxa" w:w="1800"/>
            <w:shd w:fill="FBEDE4" w:color="auto" w:val="clear"/>
            <w:tcMar>
              <w:top w:type="dxa" w:w="80"/>
              <w:left w:type="dxa" w:w="110"/>
              <w:bottom w:type="dxa" w:w="80"/>
              <w:right w:type="dxa" w:w="110"/>
            </w:tcMar>
          </w:tcPr>
          <w:p>
            <w:pPr>
              <w:spacing w:after="0" w:line="260"/>
            </w:pPr>
            <w:r>
              <w:rPr>
                <w:b w:val="false"/>
                <w:bCs w:val="false"/>
                <w:sz w:val="19"/>
                <w:szCs w:val="19"/>
              </w:rPr>
              <w:t xml:space="preserve">L3</w:t>
            </w:r>
          </w:p>
        </w:tc>
        <w:tc>
          <w:tcPr>
            <w:tcW w:type="dxa" w:w="2376"/>
            <w:shd w:fill="FBEDE4" w:color="auto" w:val="clear"/>
            <w:tcMar>
              <w:top w:type="dxa" w:w="80"/>
              <w:left w:type="dxa" w:w="110"/>
              <w:bottom w:type="dxa" w:w="80"/>
              <w:right w:type="dxa" w:w="110"/>
            </w:tcMar>
          </w:tcPr>
          <w:p>
            <w:pPr>
              <w:spacing w:after="0" w:line="260"/>
            </w:pPr>
            <w:r>
              <w:rPr>
                <w:b w:val="false"/>
                <w:bCs w:val="false"/>
                <w:sz w:val="19"/>
                <w:szCs w:val="19"/>
              </w:rPr>
              <w:t xml:space="preserve">No</w:t>
            </w:r>
          </w:p>
        </w:tc>
        <w:tc>
          <w:tcPr>
            <w:tcW w:type="dxa" w:w="864"/>
            <w:shd w:fill="FBEDE4" w:color="auto" w:val="clear"/>
            <w:tcMar>
              <w:top w:type="dxa" w:w="80"/>
              <w:left w:type="dxa" w:w="110"/>
              <w:bottom w:type="dxa" w:w="80"/>
              <w:right w:type="dxa" w:w="110"/>
            </w:tcMar>
          </w:tcPr>
          <w:p>
            <w:pPr>
              <w:spacing w:after="0" w:line="260"/>
            </w:pPr>
            <w:r>
              <w:rPr>
                <w:b w:val="false"/>
                <w:bCs w:val="false"/>
                <w:sz w:val="19"/>
                <w:szCs w:val="19"/>
              </w:rPr>
              <w:t xml:space="preserve">2+</w:t>
            </w:r>
          </w:p>
        </w:tc>
      </w:tr>
      <w:tr>
        <w:tc>
          <w:tcPr>
            <w:tcW w:type="dxa" w:w="504"/>
            <w:shd w:fill="FBEDE4" w:color="auto" w:val="clear"/>
            <w:tcMar>
              <w:top w:type="dxa" w:w="80"/>
              <w:left w:type="dxa" w:w="110"/>
              <w:bottom w:type="dxa" w:w="80"/>
              <w:right w:type="dxa" w:w="110"/>
            </w:tcMar>
          </w:tcPr>
          <w:p>
            <w:pPr>
              <w:spacing w:after="0" w:line="260"/>
            </w:pPr>
            <w:r>
              <w:rPr>
                <w:b/>
                <w:bCs/>
                <w:sz w:val="19"/>
                <w:szCs w:val="19"/>
              </w:rPr>
              <w:t xml:space="preserve">7</w:t>
            </w:r>
          </w:p>
        </w:tc>
        <w:tc>
          <w:tcPr>
            <w:tcW w:type="dxa" w:w="3096"/>
            <w:shd w:fill="FBEDE4" w:color="auto" w:val="clear"/>
            <w:tcMar>
              <w:top w:type="dxa" w:w="80"/>
              <w:left w:type="dxa" w:w="110"/>
              <w:bottom w:type="dxa" w:w="80"/>
              <w:right w:type="dxa" w:w="110"/>
            </w:tcMar>
          </w:tcPr>
          <w:p>
            <w:pPr>
              <w:spacing w:after="0" w:line="260"/>
            </w:pPr>
            <w:r>
              <w:rPr>
                <w:b w:val="false"/>
                <w:bCs w:val="false"/>
                <w:sz w:val="19"/>
                <w:szCs w:val="19"/>
              </w:rPr>
              <w:t xml:space="preserve">Escrow funding</w:t>
            </w:r>
          </w:p>
        </w:tc>
        <w:tc>
          <w:tcPr>
            <w:tcW w:type="dxa" w:w="1800"/>
            <w:shd w:fill="FBEDE4" w:color="auto" w:val="clear"/>
            <w:tcMar>
              <w:top w:type="dxa" w:w="80"/>
              <w:left w:type="dxa" w:w="110"/>
              <w:bottom w:type="dxa" w:w="80"/>
              <w:right w:type="dxa" w:w="110"/>
            </w:tcMar>
          </w:tcPr>
          <w:p>
            <w:pPr>
              <w:spacing w:after="0" w:line="260"/>
            </w:pPr>
            <w:r>
              <w:rPr>
                <w:b w:val="false"/>
                <w:bCs w:val="false"/>
                <w:sz w:val="19"/>
                <w:szCs w:val="19"/>
              </w:rPr>
              <w:t xml:space="preserve">L3</w:t>
            </w:r>
          </w:p>
        </w:tc>
        <w:tc>
          <w:tcPr>
            <w:tcW w:type="dxa" w:w="2376"/>
            <w:shd w:fill="FBEDE4" w:color="auto" w:val="clear"/>
            <w:tcMar>
              <w:top w:type="dxa" w:w="80"/>
              <w:left w:type="dxa" w:w="110"/>
              <w:bottom w:type="dxa" w:w="80"/>
              <w:right w:type="dxa" w:w="110"/>
            </w:tcMar>
          </w:tcPr>
          <w:p>
            <w:pPr>
              <w:spacing w:after="0" w:line="260"/>
            </w:pPr>
            <w:r>
              <w:rPr>
                <w:b w:val="false"/>
                <w:bCs w:val="false"/>
                <w:sz w:val="19"/>
                <w:szCs w:val="19"/>
              </w:rPr>
              <w:t xml:space="preserve">Yes — into escrow</w:t>
            </w:r>
          </w:p>
        </w:tc>
        <w:tc>
          <w:tcPr>
            <w:tcW w:type="dxa" w:w="864"/>
            <w:shd w:fill="FBEDE4" w:color="auto" w:val="clear"/>
            <w:tcMar>
              <w:top w:type="dxa" w:w="80"/>
              <w:left w:type="dxa" w:w="110"/>
              <w:bottom w:type="dxa" w:w="80"/>
              <w:right w:type="dxa" w:w="110"/>
            </w:tcMar>
          </w:tcPr>
          <w:p>
            <w:pPr>
              <w:spacing w:after="0" w:line="260"/>
            </w:pPr>
            <w:r>
              <w:rPr>
                <w:b w:val="false"/>
                <w:bCs w:val="false"/>
                <w:sz w:val="19"/>
                <w:szCs w:val="19"/>
              </w:rPr>
              <w:t xml:space="preserve">2+</w:t>
            </w:r>
          </w:p>
        </w:tc>
      </w:tr>
      <w:tr>
        <w:tc>
          <w:tcPr>
            <w:tcW w:type="dxa" w:w="504"/>
            <w:shd w:fill="FBEDE4" w:color="auto" w:val="clear"/>
            <w:tcMar>
              <w:top w:type="dxa" w:w="80"/>
              <w:left w:type="dxa" w:w="110"/>
              <w:bottom w:type="dxa" w:w="80"/>
              <w:right w:type="dxa" w:w="110"/>
            </w:tcMar>
          </w:tcPr>
          <w:p>
            <w:pPr>
              <w:spacing w:after="0" w:line="260"/>
            </w:pPr>
            <w:r>
              <w:rPr>
                <w:b/>
                <w:bCs/>
                <w:sz w:val="19"/>
                <w:szCs w:val="19"/>
              </w:rPr>
              <w:t xml:space="preserve">8</w:t>
            </w:r>
          </w:p>
        </w:tc>
        <w:tc>
          <w:tcPr>
            <w:tcW w:type="dxa" w:w="3096"/>
            <w:shd w:fill="FBEDE4" w:color="auto" w:val="clear"/>
            <w:tcMar>
              <w:top w:type="dxa" w:w="80"/>
              <w:left w:type="dxa" w:w="110"/>
              <w:bottom w:type="dxa" w:w="80"/>
              <w:right w:type="dxa" w:w="110"/>
            </w:tcMar>
          </w:tcPr>
          <w:p>
            <w:pPr>
              <w:spacing w:after="0" w:line="260"/>
            </w:pPr>
            <w:r>
              <w:rPr>
                <w:b w:val="false"/>
                <w:bCs w:val="false"/>
                <w:sz w:val="19"/>
                <w:szCs w:val="19"/>
              </w:rPr>
              <w:t xml:space="preserve">Title transfer</w:t>
            </w:r>
          </w:p>
        </w:tc>
        <w:tc>
          <w:tcPr>
            <w:tcW w:type="dxa" w:w="1800"/>
            <w:shd w:fill="FBEDE4" w:color="auto" w:val="clear"/>
            <w:tcMar>
              <w:top w:type="dxa" w:w="80"/>
              <w:left w:type="dxa" w:w="110"/>
              <w:bottom w:type="dxa" w:w="80"/>
              <w:right w:type="dxa" w:w="110"/>
            </w:tcMar>
          </w:tcPr>
          <w:p>
            <w:pPr>
              <w:spacing w:after="0" w:line="260"/>
            </w:pPr>
            <w:r>
              <w:rPr>
                <w:b w:val="false"/>
                <w:bCs w:val="false"/>
                <w:sz w:val="19"/>
                <w:szCs w:val="19"/>
              </w:rPr>
              <w:t xml:space="preserve">L3</w:t>
            </w:r>
          </w:p>
        </w:tc>
        <w:tc>
          <w:tcPr>
            <w:tcW w:type="dxa" w:w="2376"/>
            <w:shd w:fill="FBEDE4" w:color="auto" w:val="clear"/>
            <w:tcMar>
              <w:top w:type="dxa" w:w="80"/>
              <w:left w:type="dxa" w:w="110"/>
              <w:bottom w:type="dxa" w:w="80"/>
              <w:right w:type="dxa" w:w="110"/>
            </w:tcMar>
          </w:tcPr>
          <w:p>
            <w:pPr>
              <w:spacing w:after="0" w:line="260"/>
            </w:pPr>
            <w:r>
              <w:rPr>
                <w:b w:val="false"/>
                <w:bCs w:val="false"/>
                <w:sz w:val="19"/>
                <w:szCs w:val="19"/>
              </w:rPr>
              <w:t xml:space="preserve">Held in escrow</w:t>
            </w:r>
          </w:p>
        </w:tc>
        <w:tc>
          <w:tcPr>
            <w:tcW w:type="dxa" w:w="864"/>
            <w:shd w:fill="FBEDE4" w:color="auto" w:val="clear"/>
            <w:tcMar>
              <w:top w:type="dxa" w:w="80"/>
              <w:left w:type="dxa" w:w="110"/>
              <w:bottom w:type="dxa" w:w="80"/>
              <w:right w:type="dxa" w:w="110"/>
            </w:tcMar>
          </w:tcPr>
          <w:p>
            <w:pPr>
              <w:spacing w:after="0" w:line="260"/>
            </w:pPr>
            <w:r>
              <w:rPr>
                <w:b w:val="false"/>
                <w:bCs w:val="false"/>
                <w:sz w:val="19"/>
                <w:szCs w:val="19"/>
              </w:rPr>
              <w:t xml:space="preserve">2+</w:t>
            </w:r>
          </w:p>
        </w:tc>
      </w:tr>
      <w:tr>
        <w:tc>
          <w:tcPr>
            <w:tcW w:type="dxa" w:w="504"/>
            <w:shd w:fill="FBEDE4" w:color="auto" w:val="clear"/>
            <w:tcMar>
              <w:top w:type="dxa" w:w="80"/>
              <w:left w:type="dxa" w:w="110"/>
              <w:bottom w:type="dxa" w:w="80"/>
              <w:right w:type="dxa" w:w="110"/>
            </w:tcMar>
          </w:tcPr>
          <w:p>
            <w:pPr>
              <w:spacing w:after="0" w:line="260"/>
            </w:pPr>
            <w:r>
              <w:rPr>
                <w:b/>
                <w:bCs/>
                <w:sz w:val="19"/>
                <w:szCs w:val="19"/>
              </w:rPr>
              <w:t xml:space="preserve">9</w:t>
            </w:r>
          </w:p>
        </w:tc>
        <w:tc>
          <w:tcPr>
            <w:tcW w:type="dxa" w:w="3096"/>
            <w:shd w:fill="FBEDE4" w:color="auto" w:val="clear"/>
            <w:tcMar>
              <w:top w:type="dxa" w:w="80"/>
              <w:left w:type="dxa" w:w="110"/>
              <w:bottom w:type="dxa" w:w="80"/>
              <w:right w:type="dxa" w:w="110"/>
            </w:tcMar>
          </w:tcPr>
          <w:p>
            <w:pPr>
              <w:spacing w:after="0" w:line="260"/>
            </w:pPr>
            <w:r>
              <w:rPr>
                <w:b w:val="false"/>
                <w:bCs w:val="false"/>
                <w:sz w:val="19"/>
                <w:szCs w:val="19"/>
              </w:rPr>
              <w:t xml:space="preserve">Settlement &amp; handover</w:t>
            </w:r>
          </w:p>
        </w:tc>
        <w:tc>
          <w:tcPr>
            <w:tcW w:type="dxa" w:w="1800"/>
            <w:shd w:fill="FBEDE4" w:color="auto" w:val="clear"/>
            <w:tcMar>
              <w:top w:type="dxa" w:w="80"/>
              <w:left w:type="dxa" w:w="110"/>
              <w:bottom w:type="dxa" w:w="80"/>
              <w:right w:type="dxa" w:w="110"/>
            </w:tcMar>
          </w:tcPr>
          <w:p>
            <w:pPr>
              <w:spacing w:after="0" w:line="260"/>
            </w:pPr>
            <w:r>
              <w:rPr>
                <w:b w:val="false"/>
                <w:bCs w:val="false"/>
                <w:sz w:val="19"/>
                <w:szCs w:val="19"/>
              </w:rPr>
              <w:t xml:space="preserve">L3</w:t>
            </w:r>
          </w:p>
        </w:tc>
        <w:tc>
          <w:tcPr>
            <w:tcW w:type="dxa" w:w="2376"/>
            <w:shd w:fill="FBEDE4" w:color="auto" w:val="clear"/>
            <w:tcMar>
              <w:top w:type="dxa" w:w="80"/>
              <w:left w:type="dxa" w:w="110"/>
              <w:bottom w:type="dxa" w:w="80"/>
              <w:right w:type="dxa" w:w="110"/>
            </w:tcMar>
          </w:tcPr>
          <w:p>
            <w:pPr>
              <w:spacing w:after="0" w:line="260"/>
            </w:pPr>
            <w:r>
              <w:rPr>
                <w:b w:val="false"/>
                <w:bCs w:val="false"/>
                <w:sz w:val="19"/>
                <w:szCs w:val="19"/>
              </w:rPr>
              <w:t xml:space="preserve">Yes — released</w:t>
            </w:r>
          </w:p>
        </w:tc>
        <w:tc>
          <w:tcPr>
            <w:tcW w:type="dxa" w:w="864"/>
            <w:shd w:fill="FBEDE4" w:color="auto" w:val="clear"/>
            <w:tcMar>
              <w:top w:type="dxa" w:w="80"/>
              <w:left w:type="dxa" w:w="110"/>
              <w:bottom w:type="dxa" w:w="80"/>
              <w:right w:type="dxa" w:w="110"/>
            </w:tcMar>
          </w:tcPr>
          <w:p>
            <w:pPr>
              <w:spacing w:after="0" w:line="260"/>
            </w:pPr>
            <w:r>
              <w:rPr>
                <w:b w:val="false"/>
                <w:bCs w:val="false"/>
                <w:sz w:val="19"/>
                <w:szCs w:val="19"/>
              </w:rPr>
              <w:t xml:space="preserve">2+</w:t>
            </w:r>
          </w:p>
        </w:tc>
      </w:tr>
    </w:tbl>
    <w:p>
      <w:pPr>
        <w:spacing w:after="200"/>
      </w:pPr>
      <w:r>
        <w:rPr>
          <w:sz w:val="2"/>
          <w:szCs w:val="2"/>
        </w:rPr>
        <w:t xml:space="preserve"/>
      </w:r>
    </w:p>
    <w:tbl>
      <w:tblPr>
        <w:tblW w:type="dxa" w:w="9360"/>
        <w:tblBorders>
          <w:top w:val="none"/>
          <w:left w:val="none"/>
          <w:bottom w:val="none"/>
          <w:right w:val="none"/>
          <w:insideH w:val="none"/>
          <w:insideV w:val="none"/>
        </w:tblBorders>
      </w:tblPr>
      <w:tblGrid>
        <w:gridCol w:w="7560"/>
        <w:gridCol w:w="1800"/>
      </w:tblGrid>
      <w:tr>
        <w:tc>
          <w:tcPr>
            <w:tcW w:type="dxa" w:w="7560"/>
            <w:shd w:fill="E4F0E6" w:color="auto" w:val="clear"/>
            <w:tcMar>
              <w:top w:type="dxa" w:w="100"/>
              <w:left w:type="dxa" w:w="140"/>
              <w:bottom w:type="dxa" w:w="100"/>
              <w:right w:type="dxa" w:w="100"/>
            </w:tcMar>
          </w:tcPr>
          <w:p>
            <w:pPr>
              <w:spacing w:after="0"/>
            </w:pPr>
            <w:r>
              <w:rPr>
                <w:b/>
                <w:bCs/>
                <w:color w:val="1A1A1A"/>
                <w:sz w:val="24"/>
                <w:szCs w:val="24"/>
              </w:rPr>
              <w:t xml:space="preserve">Stage 1 — Discovery</w:t>
            </w:r>
          </w:p>
        </w:tc>
        <w:tc>
          <w:tcPr>
            <w:tcW w:type="dxa" w:w="1800"/>
            <w:shd w:fill="E4F0E6" w:color="auto" w:val="clear"/>
            <w:tcMar>
              <w:top w:type="dxa" w:w="100"/>
              <w:left w:type="dxa" w:w="100"/>
              <w:bottom w:type="dxa" w:w="100"/>
              <w:right w:type="dxa" w:w="140"/>
            </w:tcMar>
          </w:tcPr>
          <w:p>
            <w:pPr>
              <w:spacing w:after="0"/>
              <w:jc w:val="right"/>
            </w:pPr>
            <w:r>
              <w:rPr>
                <w:b/>
                <w:bCs/>
                <w:color w:val="1F4E5F"/>
                <w:sz w:val="17"/>
                <w:szCs w:val="17"/>
              </w:rPr>
              <w:t xml:space="preserve">PHASE 1</w:t>
            </w:r>
          </w:p>
        </w:tc>
      </w:tr>
    </w:tbl>
    <w:p>
      <w:pPr>
        <w:spacing w:after="100"/>
      </w:pPr>
      <w:r>
        <w:rPr>
          <w:sz w:val="2"/>
          <w:szCs w:val="2"/>
        </w:rPr>
        <w:t xml:space="preserve"/>
      </w:r>
    </w:p>
    <w:p>
      <w:pPr>
        <w:spacing w:after="140" w:line="280"/>
      </w:pPr>
      <w:r>
        <w:rPr>
          <w:sz w:val="21"/>
          <w:szCs w:val="21"/>
        </w:rPr>
        <w:t xml:space="preserve">The buyer searches, filters, and saves. Nothing is committed. This stage exists to establish, before any conversation starts, that verification status is the primary axis on which properties are compared.</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L0 to browse. L1 to save, set alerts, or follow an estate.</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None — but verified listings surface first, and every card carries its tier.</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None.</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Title type and risk label visible on every listing before contact.</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Search history, saved listings, alert preferences.</w:t>
            </w:r>
          </w:p>
        </w:tc>
      </w:tr>
      <w:tr>
        <w:tc>
          <w:tcPr>
            <w:tcW w:type="dxa" w:w="2232"/>
            <w:tcMar>
              <w:top w:type="dxa" w:w="80"/>
              <w:left w:type="dxa" w:w="110"/>
              <w:bottom w:type="dxa" w:w="80"/>
              <w:right w:type="dxa" w:w="110"/>
            </w:tcMar>
          </w:tcPr>
          <w:p>
            <w:pPr>
              <w:spacing w:after="0" w:line="260"/>
            </w:pPr>
            <w:r>
              <w:rPr>
                <w:b/>
                <w:bCs/>
                <w:sz w:val="19"/>
                <w:szCs w:val="19"/>
              </w:rPr>
              <w:t xml:space="preserve">Anchor firm role</w:t>
            </w:r>
          </w:p>
        </w:tc>
        <w:tc>
          <w:tcPr>
            <w:tcW w:type="dxa" w:w="7128"/>
            <w:tcMar>
              <w:top w:type="dxa" w:w="80"/>
              <w:left w:type="dxa" w:w="110"/>
              <w:bottom w:type="dxa" w:w="80"/>
              <w:right w:type="dxa" w:w="110"/>
            </w:tcMar>
          </w:tcPr>
          <w:p>
            <w:pPr>
              <w:spacing w:after="0" w:line="260"/>
            </w:pPr>
            <w:r>
              <w:rPr>
                <w:b w:val="false"/>
                <w:bCs w:val="false"/>
                <w:sz w:val="19"/>
                <w:szCs w:val="19"/>
              </w:rPr>
              <w:t xml:space="preserve">Its inventory is the seed catalogue and carries the top tier from day one.</w:t>
            </w:r>
          </w:p>
        </w:tc>
      </w:tr>
    </w:tbl>
    <w:p>
      <w:pPr>
        <w:spacing w:after="140"/>
      </w:pPr>
      <w:r>
        <w:rPr>
          <w:sz w:val="2"/>
          <w:szCs w:val="2"/>
        </w:rPr>
        <w:t xml:space="preserve"/>
      </w:r>
    </w:p>
    <w:p>
      <w:pPr>
        <w:spacing w:after="140" w:line="280"/>
      </w:pPr>
      <w:r>
        <w:rPr>
          <w:b/>
          <w:bCs/>
          <w:sz w:val="21"/>
          <w:szCs w:val="21"/>
        </w:rPr>
        <w:t xml:space="preserve">What has to be true to leave this stage: </w:t>
      </w:r>
      <w:r>
        <w:rPr>
          <w:sz w:val="21"/>
          <w:szCs w:val="21"/>
        </w:rPr>
        <w:t xml:space="preserve">the buyer has seen the Trust Panel and the Total Cost of Acquisition ledger for the property they are about to enquire about. Both are above or immediately below the fold, deliberately, so nobody makes contact on a headline price alone.</w:t>
      </w:r>
    </w:p>
    <w:tbl>
      <w:tblPr>
        <w:tblW w:type="dxa" w:w="9360"/>
        <w:tblBorders>
          <w:top w:val="none"/>
          <w:left w:val="none"/>
          <w:bottom w:val="none"/>
          <w:right w:val="none"/>
          <w:insideH w:val="none"/>
          <w:insideV w:val="none"/>
        </w:tblBorders>
      </w:tblPr>
      <w:tblGrid>
        <w:gridCol w:w="7560"/>
        <w:gridCol w:w="1800"/>
      </w:tblGrid>
      <w:tr>
        <w:tc>
          <w:tcPr>
            <w:tcW w:type="dxa" w:w="7560"/>
            <w:shd w:fill="E4F0E6" w:color="auto" w:val="clear"/>
            <w:tcMar>
              <w:top w:type="dxa" w:w="100"/>
              <w:left w:type="dxa" w:w="140"/>
              <w:bottom w:type="dxa" w:w="100"/>
              <w:right w:type="dxa" w:w="100"/>
            </w:tcMar>
          </w:tcPr>
          <w:p>
            <w:pPr>
              <w:spacing w:after="0"/>
            </w:pPr>
            <w:r>
              <w:rPr>
                <w:b/>
                <w:bCs/>
                <w:color w:val="1A1A1A"/>
                <w:sz w:val="24"/>
                <w:szCs w:val="24"/>
              </w:rPr>
              <w:t xml:space="preserve">Stage 2 — Contact &amp; qualification</w:t>
            </w:r>
          </w:p>
        </w:tc>
        <w:tc>
          <w:tcPr>
            <w:tcW w:type="dxa" w:w="1800"/>
            <w:shd w:fill="E4F0E6" w:color="auto" w:val="clear"/>
            <w:tcMar>
              <w:top w:type="dxa" w:w="100"/>
              <w:left w:type="dxa" w:w="100"/>
              <w:bottom w:type="dxa" w:w="100"/>
              <w:right w:type="dxa" w:w="140"/>
            </w:tcMar>
          </w:tcPr>
          <w:p>
            <w:pPr>
              <w:spacing w:after="0"/>
              <w:jc w:val="right"/>
            </w:pPr>
            <w:r>
              <w:rPr>
                <w:b/>
                <w:bCs/>
                <w:color w:val="1F4E5F"/>
                <w:sz w:val="17"/>
                <w:szCs w:val="17"/>
              </w:rPr>
              <w:t xml:space="preserve">PHASE 1</w:t>
            </w:r>
          </w:p>
        </w:tc>
      </w:tr>
    </w:tbl>
    <w:p>
      <w:pPr>
        <w:spacing w:after="100"/>
      </w:pPr>
      <w:r>
        <w:rPr>
          <w:sz w:val="2"/>
          <w:szCs w:val="2"/>
        </w:rPr>
        <w:t xml:space="preserve"/>
      </w:r>
    </w:p>
    <w:p>
      <w:pPr>
        <w:spacing w:after="140" w:line="280"/>
      </w:pPr>
      <w:r>
        <w:rPr>
          <w:sz w:val="21"/>
          <w:szCs w:val="21"/>
        </w:rPr>
        <w:t xml:space="preserve">Buyer and agent connect. This is the stage where Nigerian transactions traditionally disappear into WhatsApp and become unrecorded, so the design intent is not to prevent that conversation but to make the Unö-mediated version genuinely better: contact details proxied, fees already disclosed, both parties identity-verified.</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L2 for the buyer. L4 for the agent. Both sides are verified people before either speaks.</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Buyer cannot contact until L2 complete. Agent cannot receive leads until admin-approved.</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None.</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No change.</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The message thread, the enquiry record, the disclosed fee schedule, response times.</w:t>
            </w:r>
          </w:p>
        </w:tc>
      </w:tr>
      <w:tr>
        <w:tc>
          <w:tcPr>
            <w:tcW w:type="dxa" w:w="2232"/>
            <w:tcMar>
              <w:top w:type="dxa" w:w="80"/>
              <w:left w:type="dxa" w:w="110"/>
              <w:bottom w:type="dxa" w:w="80"/>
              <w:right w:type="dxa" w:w="110"/>
            </w:tcMar>
          </w:tcPr>
          <w:p>
            <w:pPr>
              <w:spacing w:after="0" w:line="260"/>
            </w:pPr>
            <w:r>
              <w:rPr>
                <w:b/>
                <w:bCs/>
                <w:sz w:val="19"/>
                <w:szCs w:val="19"/>
              </w:rPr>
              <w:t xml:space="preserve">Channel</w:t>
            </w:r>
          </w:p>
        </w:tc>
        <w:tc>
          <w:tcPr>
            <w:tcW w:type="dxa" w:w="7128"/>
            <w:tcMar>
              <w:top w:type="dxa" w:w="80"/>
              <w:left w:type="dxa" w:w="110"/>
              <w:bottom w:type="dxa" w:w="80"/>
              <w:right w:type="dxa" w:w="110"/>
            </w:tcMar>
          </w:tcPr>
          <w:p>
            <w:pPr>
              <w:spacing w:after="0" w:line="260"/>
            </w:pPr>
            <w:r>
              <w:rPr>
                <w:b w:val="false"/>
                <w:bCs w:val="false"/>
                <w:sz w:val="19"/>
                <w:szCs w:val="19"/>
              </w:rPr>
              <w:t xml:space="preserve">In-app chat, with WhatsApp notification of new messages. Contact details proxied — real numbers exchanged only when both parties consent.</w:t>
            </w:r>
          </w:p>
        </w:tc>
      </w:tr>
    </w:tbl>
    <w:p>
      <w:pPr>
        <w:spacing w:after="140"/>
      </w:pPr>
      <w:r>
        <w:rPr>
          <w:sz w:val="2"/>
          <w:szCs w:val="2"/>
        </w:rPr>
        <w:t xml:space="preserve"/>
      </w:r>
    </w:p>
    <w:p>
      <w:pPr>
        <w:spacing w:after="140" w:line="280"/>
      </w:pPr>
      <w:r>
        <w:rPr>
          <w:b/>
          <w:bCs/>
          <w:sz w:val="21"/>
          <w:szCs w:val="21"/>
        </w:rPr>
        <w:t xml:space="preserve">The disintermediation reality: </w:t>
      </w:r>
      <w:r>
        <w:rPr>
          <w:sz w:val="21"/>
          <w:szCs w:val="21"/>
        </w:rPr>
        <w:t xml:space="preserve">Phase 1 cannot prevent the conversation moving off-platform, and should not pretend to. What it can do is make the on-platform version carry things WhatsApp cannot — a verified counterparty, a fee schedule that is on the record, and a thread that survives a dispute. Phase 2 adds the part that actually holds people: the money.</w:t>
      </w:r>
    </w:p>
    <w:tbl>
      <w:tblPr>
        <w:tblW w:type="dxa" w:w="9360"/>
        <w:tblBorders>
          <w:top w:val="none"/>
          <w:left w:val="none"/>
          <w:bottom w:val="none"/>
          <w:right w:val="none"/>
          <w:insideH w:val="none"/>
          <w:insideV w:val="none"/>
        </w:tblBorders>
      </w:tblPr>
      <w:tblGrid>
        <w:gridCol w:w="7560"/>
        <w:gridCol w:w="1800"/>
      </w:tblGrid>
      <w:tr>
        <w:tc>
          <w:tcPr>
            <w:tcW w:type="dxa" w:w="7560"/>
            <w:shd w:fill="E4F0E6" w:color="auto" w:val="clear"/>
            <w:tcMar>
              <w:top w:type="dxa" w:w="100"/>
              <w:left w:type="dxa" w:w="140"/>
              <w:bottom w:type="dxa" w:w="100"/>
              <w:right w:type="dxa" w:w="100"/>
            </w:tcMar>
          </w:tcPr>
          <w:p>
            <w:pPr>
              <w:spacing w:after="0"/>
            </w:pPr>
            <w:r>
              <w:rPr>
                <w:b/>
                <w:bCs/>
                <w:color w:val="1A1A1A"/>
                <w:sz w:val="24"/>
                <w:szCs w:val="24"/>
              </w:rPr>
              <w:t xml:space="preserve">Stage 3 — Inspection</w:t>
            </w:r>
          </w:p>
        </w:tc>
        <w:tc>
          <w:tcPr>
            <w:tcW w:type="dxa" w:w="1800"/>
            <w:shd w:fill="E4F0E6" w:color="auto" w:val="clear"/>
            <w:tcMar>
              <w:top w:type="dxa" w:w="100"/>
              <w:left w:type="dxa" w:w="100"/>
              <w:bottom w:type="dxa" w:w="100"/>
              <w:right w:type="dxa" w:w="140"/>
            </w:tcMar>
          </w:tcPr>
          <w:p>
            <w:pPr>
              <w:spacing w:after="0"/>
              <w:jc w:val="right"/>
            </w:pPr>
            <w:r>
              <w:rPr>
                <w:b/>
                <w:bCs/>
                <w:color w:val="1F4E5F"/>
                <w:sz w:val="17"/>
                <w:szCs w:val="17"/>
              </w:rPr>
              <w:t xml:space="preserve">PHASE 1</w:t>
            </w:r>
          </w:p>
        </w:tc>
      </w:tr>
    </w:tbl>
    <w:p>
      <w:pPr>
        <w:spacing w:after="100"/>
      </w:pPr>
      <w:r>
        <w:rPr>
          <w:sz w:val="2"/>
          <w:szCs w:val="2"/>
        </w:rPr>
        <w:t xml:space="preserve"/>
      </w:r>
    </w:p>
    <w:p>
      <w:pPr>
        <w:spacing w:after="140" w:line="280"/>
      </w:pPr>
      <w:r>
        <w:rPr>
          <w:sz w:val="21"/>
          <w:szCs w:val="21"/>
        </w:rPr>
        <w:t xml:space="preserve">The buyer sees the property, in person or by proxy. For diaspora buyers this is the stage that has historically been outsourced to a relative and gone wrong, and it is where Unö’s first genuinely paid service sits.</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L2.</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Inspection can only be booked on listings held by an L4-verified agent.</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Inspection or report fee paid to Unö via Paystack. No buyer-to-seller money at this stage.</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No change.</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Appointment record, reminders, attendance confirmation, inspection report and photographs where the paid report is purchased.</w:t>
            </w:r>
          </w:p>
        </w:tc>
      </w:tr>
      <w:tr>
        <w:tc>
          <w:tcPr>
            <w:tcW w:type="dxa" w:w="2232"/>
            <w:tcMar>
              <w:top w:type="dxa" w:w="80"/>
              <w:left w:type="dxa" w:w="110"/>
              <w:bottom w:type="dxa" w:w="80"/>
              <w:right w:type="dxa" w:w="110"/>
            </w:tcMar>
          </w:tcPr>
          <w:p>
            <w:pPr>
              <w:spacing w:after="0" w:line="260"/>
            </w:pPr>
            <w:r>
              <w:rPr>
                <w:b/>
                <w:bCs/>
                <w:sz w:val="19"/>
                <w:szCs w:val="19"/>
              </w:rPr>
              <w:t xml:space="preserve">Anchor firm role</w:t>
            </w:r>
          </w:p>
        </w:tc>
        <w:tc>
          <w:tcPr>
            <w:tcW w:type="dxa" w:w="7128"/>
            <w:tcMar>
              <w:top w:type="dxa" w:w="80"/>
              <w:left w:type="dxa" w:w="110"/>
              <w:bottom w:type="dxa" w:w="80"/>
              <w:right w:type="dxa" w:w="110"/>
            </w:tcMar>
          </w:tcPr>
          <w:p>
            <w:pPr>
              <w:spacing w:after="0" w:line="260"/>
            </w:pPr>
            <w:r>
              <w:rPr>
                <w:b w:val="false"/>
                <w:bCs w:val="false"/>
                <w:sz w:val="19"/>
                <w:szCs w:val="19"/>
              </w:rPr>
              <w:t xml:space="preserve">Surveyor network supplies the vetted inspectors for certified reports.</w:t>
            </w:r>
          </w:p>
        </w:tc>
      </w:tr>
    </w:tbl>
    <w:p>
      <w:pPr>
        <w:spacing w:after="140"/>
      </w:pPr>
      <w:r>
        <w:rPr>
          <w:sz w:val="2"/>
          <w:szCs w:val="2"/>
        </w:rPr>
        <w:t xml:space="preserve"/>
      </w:r>
    </w:p>
    <w:p>
      <w:pPr>
        <w:spacing w:after="140" w:line="280"/>
      </w:pPr>
      <w:r>
        <w:rPr>
          <w:b/>
          <w:bCs/>
          <w:sz w:val="21"/>
          <w:szCs w:val="21"/>
        </w:rPr>
        <w:t xml:space="preserve">Two products live here:</w:t>
      </w:r>
    </w:p>
    <w:p>
      <w:pPr>
        <w:pStyle w:val="ListParagraph"/>
        <w:numPr>
          <w:ilvl w:val="0"/>
          <w:numId w:val="3"/>
        </w:numPr>
        <w:spacing w:after="90" w:line="280"/>
      </w:pPr>
      <w:r>
        <w:rPr>
          <w:b/>
          <w:bCs/>
          <w:sz w:val="21"/>
          <w:szCs w:val="21"/>
        </w:rPr>
        <w:t xml:space="preserve">Self-inspection booking. </w:t>
      </w:r>
      <w:r>
        <w:rPr>
          <w:sz w:val="21"/>
          <w:szCs w:val="21"/>
        </w:rPr>
        <w:t xml:space="preserve">Free. Scheduling, WhatsApp reminders to both parties, calendar sync, attendance confirmation.</w:t>
      </w:r>
    </w:p>
    <w:p>
      <w:pPr>
        <w:pStyle w:val="ListParagraph"/>
        <w:numPr>
          <w:ilvl w:val="0"/>
          <w:numId w:val="3"/>
        </w:numPr>
        <w:spacing w:after="90" w:line="280"/>
      </w:pPr>
      <w:r>
        <w:rPr>
          <w:b/>
          <w:bCs/>
          <w:sz w:val="21"/>
          <w:szCs w:val="21"/>
        </w:rPr>
        <w:t xml:space="preserve">Verified inspection report. </w:t>
      </w:r>
      <w:r>
        <w:rPr>
          <w:sz w:val="21"/>
          <w:szCs w:val="21"/>
        </w:rPr>
        <w:t xml:space="preserve">Paid. A vetted surveyor attends, photographs to a standard template, and certifies whether the property matches the listing. Produces the Inspection-Certified badge. This is the diaspora unlock and the first real revenue line.</w:t>
      </w:r>
    </w:p>
    <w:tbl>
      <w:tblPr>
        <w:tblW w:type="dxa" w:w="9360"/>
        <w:tblBorders>
          <w:top w:val="none"/>
          <w:left w:val="none"/>
          <w:bottom w:val="none"/>
          <w:right w:val="none"/>
          <w:insideH w:val="none"/>
          <w:insideV w:val="none"/>
        </w:tblBorders>
      </w:tblPr>
      <w:tblGrid>
        <w:gridCol w:w="7560"/>
        <w:gridCol w:w="1800"/>
      </w:tblGrid>
      <w:tr>
        <w:tc>
          <w:tcPr>
            <w:tcW w:type="dxa" w:w="7560"/>
            <w:shd w:fill="E4F0E6" w:color="auto" w:val="clear"/>
            <w:tcMar>
              <w:top w:type="dxa" w:w="100"/>
              <w:left w:type="dxa" w:w="140"/>
              <w:bottom w:type="dxa" w:w="100"/>
              <w:right w:type="dxa" w:w="100"/>
            </w:tcMar>
          </w:tcPr>
          <w:p>
            <w:pPr>
              <w:spacing w:after="0"/>
            </w:pPr>
            <w:r>
              <w:rPr>
                <w:b/>
                <w:bCs/>
                <w:color w:val="1A1A1A"/>
                <w:sz w:val="24"/>
                <w:szCs w:val="24"/>
              </w:rPr>
              <w:t xml:space="preserve">Stage 4 — Verification &amp; due diligence</w:t>
            </w:r>
          </w:p>
        </w:tc>
        <w:tc>
          <w:tcPr>
            <w:tcW w:type="dxa" w:w="1800"/>
            <w:shd w:fill="E4F0E6" w:color="auto" w:val="clear"/>
            <w:tcMar>
              <w:top w:type="dxa" w:w="100"/>
              <w:left w:type="dxa" w:w="100"/>
              <w:bottom w:type="dxa" w:w="100"/>
              <w:right w:type="dxa" w:w="140"/>
            </w:tcMar>
          </w:tcPr>
          <w:p>
            <w:pPr>
              <w:spacing w:after="0"/>
              <w:jc w:val="right"/>
            </w:pPr>
            <w:r>
              <w:rPr>
                <w:b/>
                <w:bCs/>
                <w:color w:val="1F4E5F"/>
                <w:sz w:val="17"/>
                <w:szCs w:val="17"/>
              </w:rPr>
              <w:t xml:space="preserve">PHASE 1</w:t>
            </w:r>
          </w:p>
        </w:tc>
      </w:tr>
    </w:tbl>
    <w:p>
      <w:pPr>
        <w:spacing w:after="100"/>
      </w:pPr>
      <w:r>
        <w:rPr>
          <w:sz w:val="2"/>
          <w:szCs w:val="2"/>
        </w:rPr>
        <w:t xml:space="preserve"/>
      </w:r>
    </w:p>
    <w:p>
      <w:pPr>
        <w:spacing w:after="140" w:line="280"/>
      </w:pPr>
      <w:r>
        <w:rPr>
          <w:sz w:val="21"/>
          <w:szCs w:val="21"/>
        </w:rPr>
        <w:t xml:space="preserve">The legal check. This is where the anchor firm’s work sits, where Unö’s core value is produced, and — commercially — where the flagship paid service lives. In a traditional Nigerian transaction this happens late, informally, and often after money has already changed hands. Unö moves it </w:t>
      </w:r>
      <w:r>
        <w:rPr>
          <w:i/>
          <w:iCs/>
          <w:sz w:val="21"/>
          <w:szCs w:val="21"/>
        </w:rPr>
        <w:t xml:space="preserve">before</w:t>
      </w:r>
      <w:r>
        <w:rPr>
          <w:sz w:val="21"/>
          <w:szCs w:val="21"/>
        </w:rPr>
        <w:t xml:space="preserve"> the offer.</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L2 for the buyer commissioning the check. Seller identity confirmed as part of the check.</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Outcome sets the listing’s verification tier. A failed check suspends the listing and routes to the fraud queue.</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Verification fee paid to Unö via Paystack, shared with the performing firm. Still no buyer-to-seller money.</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Title type confirmed and risk-labelled. Registry search recorded with date, scope, and verifying solicitor named.</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Document set, registry check outcome, acquisition-zone result, verifier identity, timestamps — all in the append-only record.</w:t>
            </w:r>
          </w:p>
        </w:tc>
      </w:tr>
      <w:tr>
        <w:tc>
          <w:tcPr>
            <w:tcW w:type="dxa" w:w="2232"/>
            <w:tcMar>
              <w:top w:type="dxa" w:w="80"/>
              <w:left w:type="dxa" w:w="110"/>
              <w:bottom w:type="dxa" w:w="80"/>
              <w:right w:type="dxa" w:w="110"/>
            </w:tcMar>
          </w:tcPr>
          <w:p>
            <w:pPr>
              <w:spacing w:after="0" w:line="260"/>
            </w:pPr>
            <w:r>
              <w:rPr>
                <w:b/>
                <w:bCs/>
                <w:sz w:val="19"/>
                <w:szCs w:val="19"/>
              </w:rPr>
              <w:t xml:space="preserve">Anchor firm role</w:t>
            </w:r>
          </w:p>
        </w:tc>
        <w:tc>
          <w:tcPr>
            <w:tcW w:type="dxa" w:w="7128"/>
            <w:tcMar>
              <w:top w:type="dxa" w:w="80"/>
              <w:left w:type="dxa" w:w="110"/>
              <w:bottom w:type="dxa" w:w="80"/>
              <w:right w:type="dxa" w:w="110"/>
            </w:tcMar>
          </w:tcPr>
          <w:p>
            <w:pPr>
              <w:spacing w:after="0" w:line="260"/>
            </w:pPr>
            <w:r>
              <w:rPr>
                <w:b w:val="false"/>
                <w:bCs w:val="false"/>
                <w:sz w:val="19"/>
                <w:szCs w:val="19"/>
              </w:rPr>
              <w:t xml:space="preserve">Performs the check. Its name appears on the Trust Panel. This is the partnership made visible.</w:t>
            </w:r>
          </w:p>
        </w:tc>
      </w:tr>
    </w:tbl>
    <w:p>
      <w:pPr>
        <w:spacing w:after="140"/>
      </w:pPr>
      <w:r>
        <w:rPr>
          <w:sz w:val="2"/>
          <w:szCs w:val="2"/>
        </w:rPr>
        <w:t xml:space="preserve"/>
      </w:r>
    </w:p>
    <w:p>
      <w:pPr>
        <w:spacing w:after="140" w:line="280"/>
      </w:pPr>
      <w:r>
        <w:rPr>
          <w:b/>
          <w:bCs/>
          <w:sz w:val="21"/>
          <w:szCs w:val="21"/>
        </w:rPr>
        <w:t xml:space="preserve">What the check covers:</w:t>
      </w:r>
    </w:p>
    <w:p>
      <w:pPr>
        <w:pStyle w:val="ListParagraph"/>
        <w:numPr>
          <w:ilvl w:val="0"/>
          <w:numId w:val="2"/>
        </w:numPr>
        <w:spacing w:after="90" w:line="280"/>
      </w:pPr>
      <w:r>
        <w:rPr>
          <w:sz w:val="21"/>
          <w:szCs w:val="21"/>
        </w:rPr>
        <w:t xml:space="preserve">Title document review — type, authenticity indicators, chain of ownership as presented.</w:t>
      </w:r>
    </w:p>
    <w:p>
      <w:pPr>
        <w:pStyle w:val="ListParagraph"/>
        <w:numPr>
          <w:ilvl w:val="0"/>
          <w:numId w:val="2"/>
        </w:numPr>
        <w:spacing w:after="90" w:line="280"/>
      </w:pPr>
      <w:r>
        <w:rPr>
          <w:sz w:val="21"/>
          <w:szCs w:val="21"/>
        </w:rPr>
        <w:t xml:space="preserve">Registry search — does the title exist as claimed, and is it held by the person claiming it.</w:t>
      </w:r>
    </w:p>
    <w:p>
      <w:pPr>
        <w:pStyle w:val="ListParagraph"/>
        <w:numPr>
          <w:ilvl w:val="0"/>
          <w:numId w:val="2"/>
        </w:numPr>
        <w:spacing w:after="90" w:line="280"/>
      </w:pPr>
      <w:r>
        <w:rPr>
          <w:sz w:val="21"/>
          <w:szCs w:val="21"/>
        </w:rPr>
        <w:t xml:space="preserve">Government acquisition overlap — automated geospatial check against known acquisition zones, confirmed by the solicitor.</w:t>
      </w:r>
    </w:p>
    <w:p>
      <w:pPr>
        <w:pStyle w:val="ListParagraph"/>
        <w:numPr>
          <w:ilvl w:val="0"/>
          <w:numId w:val="2"/>
        </w:numPr>
        <w:spacing w:after="90" w:line="280"/>
      </w:pPr>
      <w:r>
        <w:rPr>
          <w:sz w:val="21"/>
          <w:szCs w:val="21"/>
        </w:rPr>
        <w:t xml:space="preserve">Encumbrance check — recorded charges, mortgages, or caveats where discoverable.</w:t>
      </w:r>
    </w:p>
    <w:p>
      <w:pPr>
        <w:pStyle w:val="ListParagraph"/>
        <w:numPr>
          <w:ilvl w:val="0"/>
          <w:numId w:val="2"/>
        </w:numPr>
        <w:spacing w:after="90" w:line="280"/>
      </w:pPr>
      <w:r>
        <w:rPr>
          <w:sz w:val="21"/>
          <w:szCs w:val="21"/>
        </w:rPr>
        <w:t xml:space="preserve">Duplicate check — title number cross-referenced against every other listing on Unö.</w:t>
      </w:r>
    </w:p>
    <w:p>
      <w:pPr>
        <w:spacing w:after="140" w:line="280"/>
      </w:pPr>
      <w:r>
        <w:rPr>
          <w:b/>
          <w:bCs/>
          <w:sz w:val="21"/>
          <w:szCs w:val="21"/>
        </w:rPr>
        <w:t xml:space="preserve">Scope discipline: </w:t>
      </w:r>
      <w:r>
        <w:rPr>
          <w:sz w:val="21"/>
          <w:szCs w:val="21"/>
        </w:rPr>
        <w:t xml:space="preserve">the outcome is published with an explicit statement of what was and was not checked, and the date it was checked. A registry search is a snapshot, not a guarantee, and saying so plainly is what keeps the tier honest and the company insurable.</w:t>
      </w:r>
    </w:p>
    <w:p>
      <w:pPr>
        <w:spacing w:after="140" w:line="280"/>
      </w:pPr>
      <w:r>
        <w:rPr>
          <w:b/>
          <w:bCs/>
          <w:sz w:val="21"/>
          <w:szCs w:val="21"/>
        </w:rPr>
        <w:t xml:space="preserve">[ASSUMPTION — the critical open question] </w:t>
      </w:r>
      <w:r>
        <w:rPr>
          <w:sz w:val="21"/>
          <w:szCs w:val="21"/>
        </w:rPr>
        <w:t xml:space="preserve">This stage assumes a registry check can be completed in days at a price a normal Abuja buyer will pay. If the real answer is three weeks and a large fee, the productisation problem is harder than the software problem and the tier structure needs rethinking. This is the first thing to resolve in the Nigeria meeting.</w:t>
      </w:r>
    </w:p>
    <w:p>
      <w:pPr>
        <w:spacing w:after="140" w:line="280"/>
      </w:pPr>
      <w:r>
        <w:rPr>
          <w:b/>
          <w:bCs/>
          <w:sz w:val="21"/>
          <w:szCs w:val="21"/>
        </w:rPr>
        <w:t xml:space="preserve">Phase 1 ends here.</w:t>
      </w:r>
      <w:r>
        <w:rPr>
          <w:sz w:val="21"/>
          <w:szCs w:val="21"/>
        </w:rPr>
        <w:t xml:space="preserve"> Everything below is documented so the data model and the partnership conversation can anticipate it — but it is not built until an experienced engineer is on the team and a security review is complete.</w:t>
      </w:r>
    </w:p>
    <w:tbl>
      <w:tblPr>
        <w:tblW w:type="dxa" w:w="9360"/>
        <w:tblBorders>
          <w:top w:val="none"/>
          <w:left w:val="none"/>
          <w:bottom w:val="none"/>
          <w:right w:val="none"/>
          <w:insideH w:val="none"/>
          <w:insideV w:val="none"/>
        </w:tblBorders>
      </w:tblPr>
      <w:tblGrid>
        <w:gridCol w:w="7560"/>
        <w:gridCol w:w="1800"/>
      </w:tblGrid>
      <w:tr>
        <w:tc>
          <w:tcPr>
            <w:tcW w:type="dxa" w:w="7560"/>
            <w:shd w:fill="FBEDE4" w:color="auto" w:val="clear"/>
            <w:tcMar>
              <w:top w:type="dxa" w:w="100"/>
              <w:left w:type="dxa" w:w="140"/>
              <w:bottom w:type="dxa" w:w="100"/>
              <w:right w:type="dxa" w:w="100"/>
            </w:tcMar>
          </w:tcPr>
          <w:p>
            <w:pPr>
              <w:spacing w:after="0"/>
            </w:pPr>
            <w:r>
              <w:rPr>
                <w:b/>
                <w:bCs/>
                <w:color w:val="1A1A1A"/>
                <w:sz w:val="24"/>
                <w:szCs w:val="24"/>
              </w:rPr>
              <w:t xml:space="preserve">Stage 5 — Offer &amp; acceptance</w:t>
            </w:r>
          </w:p>
        </w:tc>
        <w:tc>
          <w:tcPr>
            <w:tcW w:type="dxa" w:w="1800"/>
            <w:shd w:fill="FBEDE4" w:color="auto" w:val="clear"/>
            <w:tcMar>
              <w:top w:type="dxa" w:w="100"/>
              <w:left w:type="dxa" w:w="100"/>
              <w:bottom w:type="dxa" w:w="100"/>
              <w:right w:type="dxa" w:w="140"/>
            </w:tcMar>
          </w:tcPr>
          <w:p>
            <w:pPr>
              <w:spacing w:after="0"/>
              <w:jc w:val="right"/>
            </w:pPr>
            <w:r>
              <w:rPr>
                <w:b/>
                <w:bCs/>
                <w:color w:val="1F4E5F"/>
                <w:sz w:val="17"/>
                <w:szCs w:val="17"/>
              </w:rPr>
              <w:t xml:space="preserve">PHASE 2+</w:t>
            </w:r>
          </w:p>
        </w:tc>
      </w:tr>
    </w:tbl>
    <w:p>
      <w:pPr>
        <w:spacing w:after="100"/>
      </w:pPr>
      <w:r>
        <w:rPr>
          <w:sz w:val="2"/>
          <w:szCs w:val="2"/>
        </w:rPr>
        <w:t xml:space="preserve"/>
      </w:r>
    </w:p>
    <w:p>
      <w:pPr>
        <w:spacing w:after="140" w:line="280"/>
      </w:pPr>
      <w:r>
        <w:rPr>
          <w:sz w:val="21"/>
          <w:szCs w:val="21"/>
        </w:rPr>
        <w:t xml:space="preserve">The buyer makes a formal offer through the platform; the seller accepts, rejects, or counters. Recorded rather than verbal, which is itself a meaningful change from current practice.</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L3 both sides — full KYC, proof of address, source-of-funds declaration where thresholds require.</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Offers can only be made on Registry-Verified listings. This is the structural incentive for sellers to verify.</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None. No deposit is taken outside escrow, ever.</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No change.</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Offer terms, counter-offers, acceptance timestamp, the agreed fee split, and the final Total Cost of Acquisition ledger both parties have seen.</w:t>
            </w:r>
          </w:p>
        </w:tc>
      </w:tr>
    </w:tbl>
    <w:p>
      <w:pPr>
        <w:spacing w:after="140"/>
      </w:pPr>
      <w:r>
        <w:rPr>
          <w:sz w:val="2"/>
          <w:szCs w:val="2"/>
        </w:rPr>
        <w:t xml:space="preserve"/>
      </w:r>
    </w:p>
    <w:p>
      <w:pPr>
        <w:spacing w:after="140" w:line="280"/>
      </w:pPr>
      <w:r>
        <w:rPr>
          <w:b/>
          <w:bCs/>
          <w:sz w:val="21"/>
          <w:szCs w:val="21"/>
        </w:rPr>
        <w:t xml:space="preserve">The fee ledger locks here. </w:t>
      </w:r>
      <w:r>
        <w:rPr>
          <w:sz w:val="21"/>
          <w:szCs w:val="21"/>
        </w:rPr>
        <w:t xml:space="preserve">Agency commission, legal fee, survey fee, stamp duty, Governor’s Consent, registration, and platform fee are itemised and agreed before acceptance. Any charge that appears later and was not on this ledger is a policy breach and a dispute trigger. This single mechanism addresses the most common and most resented failure in Nigerian property transactions.</w:t>
      </w:r>
    </w:p>
    <w:tbl>
      <w:tblPr>
        <w:tblW w:type="dxa" w:w="9360"/>
        <w:tblBorders>
          <w:top w:val="none"/>
          <w:left w:val="none"/>
          <w:bottom w:val="none"/>
          <w:right w:val="none"/>
          <w:insideH w:val="none"/>
          <w:insideV w:val="none"/>
        </w:tblBorders>
      </w:tblPr>
      <w:tblGrid>
        <w:gridCol w:w="7560"/>
        <w:gridCol w:w="1800"/>
      </w:tblGrid>
      <w:tr>
        <w:tc>
          <w:tcPr>
            <w:tcW w:type="dxa" w:w="7560"/>
            <w:shd w:fill="FBEDE4" w:color="auto" w:val="clear"/>
            <w:tcMar>
              <w:top w:type="dxa" w:w="100"/>
              <w:left w:type="dxa" w:w="140"/>
              <w:bottom w:type="dxa" w:w="100"/>
              <w:right w:type="dxa" w:w="100"/>
            </w:tcMar>
          </w:tcPr>
          <w:p>
            <w:pPr>
              <w:spacing w:after="0"/>
            </w:pPr>
            <w:r>
              <w:rPr>
                <w:b/>
                <w:bCs/>
                <w:color w:val="1A1A1A"/>
                <w:sz w:val="24"/>
                <w:szCs w:val="24"/>
              </w:rPr>
              <w:t xml:space="preserve">Stage 6 — Contract</w:t>
            </w:r>
          </w:p>
        </w:tc>
        <w:tc>
          <w:tcPr>
            <w:tcW w:type="dxa" w:w="1800"/>
            <w:shd w:fill="FBEDE4" w:color="auto" w:val="clear"/>
            <w:tcMar>
              <w:top w:type="dxa" w:w="100"/>
              <w:left w:type="dxa" w:w="100"/>
              <w:bottom w:type="dxa" w:w="100"/>
              <w:right w:type="dxa" w:w="140"/>
            </w:tcMar>
          </w:tcPr>
          <w:p>
            <w:pPr>
              <w:spacing w:after="0"/>
              <w:jc w:val="right"/>
            </w:pPr>
            <w:r>
              <w:rPr>
                <w:b/>
                <w:bCs/>
                <w:color w:val="1F4E5F"/>
                <w:sz w:val="17"/>
                <w:szCs w:val="17"/>
              </w:rPr>
              <w:t xml:space="preserve">PHASE 2+</w:t>
            </w:r>
          </w:p>
        </w:tc>
      </w:tr>
    </w:tbl>
    <w:p>
      <w:pPr>
        <w:spacing w:after="100"/>
      </w:pPr>
      <w:r>
        <w:rPr>
          <w:sz w:val="2"/>
          <w:szCs w:val="2"/>
        </w:rPr>
        <w:t xml:space="preserve"/>
      </w:r>
    </w:p>
    <w:p>
      <w:pPr>
        <w:spacing w:after="140" w:line="280"/>
      </w:pPr>
      <w:r>
        <w:rPr>
          <w:sz w:val="21"/>
          <w:szCs w:val="21"/>
        </w:rPr>
        <w:t xml:space="preserve">The agreement is generated, reviewed, and executed. Tamper-evidence is the requirement — the platform must be able to prove exactly what was signed and when, years later, in a dispute.</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L3 both sides.</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Contract cannot be generated until the verification record is current and the offer accepted.</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None yet.</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Contract specifies the title being transferred and the consent path required.</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Contract PDF in versioned storage; SHA-256 hash, timestamp, and signer identities in the append-only audit log. No blockchain — a write-once audit trail and good backups do the job.</w:t>
            </w:r>
          </w:p>
        </w:tc>
      </w:tr>
      <w:tr>
        <w:tc>
          <w:tcPr>
            <w:tcW w:type="dxa" w:w="2232"/>
            <w:tcMar>
              <w:top w:type="dxa" w:w="80"/>
              <w:left w:type="dxa" w:w="110"/>
              <w:bottom w:type="dxa" w:w="80"/>
              <w:right w:type="dxa" w:w="110"/>
            </w:tcMar>
          </w:tcPr>
          <w:p>
            <w:pPr>
              <w:spacing w:after="0" w:line="260"/>
            </w:pPr>
            <w:r>
              <w:rPr>
                <w:b/>
                <w:bCs/>
                <w:sz w:val="19"/>
                <w:szCs w:val="19"/>
              </w:rPr>
              <w:t xml:space="preserve">Anchor firm role</w:t>
            </w:r>
          </w:p>
        </w:tc>
        <w:tc>
          <w:tcPr>
            <w:tcW w:type="dxa" w:w="7128"/>
            <w:tcMar>
              <w:top w:type="dxa" w:w="80"/>
              <w:left w:type="dxa" w:w="110"/>
              <w:bottom w:type="dxa" w:w="80"/>
              <w:right w:type="dxa" w:w="110"/>
            </w:tcMar>
          </w:tcPr>
          <w:p>
            <w:pPr>
              <w:spacing w:after="0" w:line="260"/>
            </w:pPr>
            <w:r>
              <w:rPr>
                <w:b w:val="false"/>
                <w:bCs w:val="false"/>
                <w:sz w:val="19"/>
                <w:szCs w:val="19"/>
              </w:rPr>
              <w:t xml:space="preserve">Drafts or reviews the instrument. Legal work stays with lawyers; Unö provides the rail, not the advice.</w:t>
            </w:r>
          </w:p>
        </w:tc>
      </w:tr>
    </w:tbl>
    <w:tbl>
      <w:tblPr>
        <w:tblW w:type="dxa" w:w="9360"/>
        <w:tblBorders>
          <w:top w:val="none"/>
          <w:left w:val="none"/>
          <w:bottom w:val="none"/>
          <w:right w:val="none"/>
          <w:insideH w:val="none"/>
          <w:insideV w:val="none"/>
        </w:tblBorders>
      </w:tblPr>
      <w:tblGrid>
        <w:gridCol w:w="7560"/>
        <w:gridCol w:w="1800"/>
      </w:tblGrid>
      <w:tr>
        <w:tc>
          <w:tcPr>
            <w:tcW w:type="dxa" w:w="7560"/>
            <w:shd w:fill="FBEDE4" w:color="auto" w:val="clear"/>
            <w:tcMar>
              <w:top w:type="dxa" w:w="100"/>
              <w:left w:type="dxa" w:w="140"/>
              <w:bottom w:type="dxa" w:w="100"/>
              <w:right w:type="dxa" w:w="100"/>
            </w:tcMar>
          </w:tcPr>
          <w:p>
            <w:pPr>
              <w:spacing w:after="0"/>
            </w:pPr>
            <w:r>
              <w:rPr>
                <w:b/>
                <w:bCs/>
                <w:color w:val="1A1A1A"/>
                <w:sz w:val="24"/>
                <w:szCs w:val="24"/>
              </w:rPr>
              <w:t xml:space="preserve">Stage 7 — Escrow funding</w:t>
            </w:r>
          </w:p>
        </w:tc>
        <w:tc>
          <w:tcPr>
            <w:tcW w:type="dxa" w:w="1800"/>
            <w:shd w:fill="FBEDE4" w:color="auto" w:val="clear"/>
            <w:tcMar>
              <w:top w:type="dxa" w:w="100"/>
              <w:left w:type="dxa" w:w="100"/>
              <w:bottom w:type="dxa" w:w="100"/>
              <w:right w:type="dxa" w:w="140"/>
            </w:tcMar>
          </w:tcPr>
          <w:p>
            <w:pPr>
              <w:spacing w:after="0"/>
              <w:jc w:val="right"/>
            </w:pPr>
            <w:r>
              <w:rPr>
                <w:b/>
                <w:bCs/>
                <w:color w:val="1F4E5F"/>
                <w:sz w:val="17"/>
                <w:szCs w:val="17"/>
              </w:rPr>
              <w:t xml:space="preserve">PHASE 2+</w:t>
            </w:r>
          </w:p>
        </w:tc>
      </w:tr>
    </w:tbl>
    <w:p>
      <w:pPr>
        <w:spacing w:after="100"/>
      </w:pPr>
      <w:r>
        <w:rPr>
          <w:sz w:val="2"/>
          <w:szCs w:val="2"/>
        </w:rPr>
        <w:t xml:space="preserve"/>
      </w:r>
    </w:p>
    <w:p>
      <w:pPr>
        <w:spacing w:after="140" w:line="280"/>
      </w:pPr>
      <w:r>
        <w:rPr>
          <w:sz w:val="21"/>
          <w:szCs w:val="21"/>
        </w:rPr>
        <w:t xml:space="preserve">The buyer funds the transaction into a licensed third-party escrow account. This is the stage that changes the Nigerian property market, and it is the stage Unö must be most careful about: </w:t>
      </w:r>
      <w:r>
        <w:rPr>
          <w:b/>
          <w:bCs/>
          <w:sz w:val="21"/>
          <w:szCs w:val="21"/>
        </w:rPr>
        <w:t xml:space="preserve">Unö never holds the money</w:t>
      </w:r>
      <w:r>
        <w:rPr>
          <w:sz w:val="21"/>
          <w:szCs w:val="21"/>
        </w:rPr>
        <w:t xml:space="preserve">. Custody sits with a licensed partner, behind an adapter interface. Holding funds directly would make Unö a regulated financial institution — a different company entirely.</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L3, plus any additional KYC the escrow partner requires.</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Funding is only possible on an Escrow-Enabled listing with a signed contract on record.</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Buyer funds move into the licensed partner’s escrow account. Naira. Diaspora FX path is Phase 3.</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No change yet — this is precisely the point. Money is committed but not released.</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Escrow reference, funding confirmation, milestone state. Never the funds themselves.</w:t>
            </w:r>
          </w:p>
        </w:tc>
      </w:tr>
    </w:tbl>
    <w:p>
      <w:pPr>
        <w:spacing w:after="140"/>
      </w:pPr>
      <w:r>
        <w:rPr>
          <w:sz w:val="2"/>
          <w:szCs w:val="2"/>
        </w:rPr>
        <w:t xml:space="preserve"/>
      </w:r>
    </w:p>
    <w:p>
      <w:pPr>
        <w:spacing w:after="140" w:line="280"/>
      </w:pPr>
      <w:r>
        <w:rPr>
          <w:b/>
          <w:bCs/>
          <w:sz w:val="21"/>
          <w:szCs w:val="21"/>
        </w:rPr>
        <w:t xml:space="preserve">This is the security line in physical form. </w:t>
      </w:r>
      <w:r>
        <w:rPr>
          <w:sz w:val="21"/>
          <w:szCs w:val="21"/>
        </w:rPr>
        <w:t xml:space="preserve">Nothing in this stage gets built by a non-technical founder with AI assistance. Experienced engineer, security review, and a licensed partner, or it does not get built.</w:t>
      </w:r>
    </w:p>
    <w:tbl>
      <w:tblPr>
        <w:tblW w:type="dxa" w:w="9360"/>
        <w:tblBorders>
          <w:top w:val="none"/>
          <w:left w:val="none"/>
          <w:bottom w:val="none"/>
          <w:right w:val="none"/>
          <w:insideH w:val="none"/>
          <w:insideV w:val="none"/>
        </w:tblBorders>
      </w:tblPr>
      <w:tblGrid>
        <w:gridCol w:w="7560"/>
        <w:gridCol w:w="1800"/>
      </w:tblGrid>
      <w:tr>
        <w:tc>
          <w:tcPr>
            <w:tcW w:type="dxa" w:w="7560"/>
            <w:shd w:fill="FBEDE4" w:color="auto" w:val="clear"/>
            <w:tcMar>
              <w:top w:type="dxa" w:w="100"/>
              <w:left w:type="dxa" w:w="140"/>
              <w:bottom w:type="dxa" w:w="100"/>
              <w:right w:type="dxa" w:w="100"/>
            </w:tcMar>
          </w:tcPr>
          <w:p>
            <w:pPr>
              <w:spacing w:after="0"/>
            </w:pPr>
            <w:r>
              <w:rPr>
                <w:b/>
                <w:bCs/>
                <w:color w:val="1A1A1A"/>
                <w:sz w:val="24"/>
                <w:szCs w:val="24"/>
              </w:rPr>
              <w:t xml:space="preserve">Stage 8 — Title transfer</w:t>
            </w:r>
          </w:p>
        </w:tc>
        <w:tc>
          <w:tcPr>
            <w:tcW w:type="dxa" w:w="1800"/>
            <w:shd w:fill="FBEDE4" w:color="auto" w:val="clear"/>
            <w:tcMar>
              <w:top w:type="dxa" w:w="100"/>
              <w:left w:type="dxa" w:w="100"/>
              <w:bottom w:type="dxa" w:w="100"/>
              <w:right w:type="dxa" w:w="140"/>
            </w:tcMar>
          </w:tcPr>
          <w:p>
            <w:pPr>
              <w:spacing w:after="0"/>
              <w:jc w:val="right"/>
            </w:pPr>
            <w:r>
              <w:rPr>
                <w:b/>
                <w:bCs/>
                <w:color w:val="1F4E5F"/>
                <w:sz w:val="17"/>
                <w:szCs w:val="17"/>
              </w:rPr>
              <w:t xml:space="preserve">PHASE 2+</w:t>
            </w:r>
          </w:p>
        </w:tc>
      </w:tr>
    </w:tbl>
    <w:p>
      <w:pPr>
        <w:spacing w:after="100"/>
      </w:pPr>
      <w:r>
        <w:rPr>
          <w:sz w:val="2"/>
          <w:szCs w:val="2"/>
        </w:rPr>
        <w:t xml:space="preserve"/>
      </w:r>
    </w:p>
    <w:p>
      <w:pPr>
        <w:spacing w:after="140" w:line="280"/>
      </w:pPr>
      <w:r>
        <w:rPr>
          <w:sz w:val="21"/>
          <w:szCs w:val="21"/>
        </w:rPr>
        <w:t xml:space="preserve">The legal transfer executes while the money sits in escrow. Deed of Assignment, Governor’s Consent where required, stamp duty, and registration — each a tracked sub-milestone with its own status, because this is the part that takes months and where buyers lose visibility and confidence.</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L3 both sides.</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Each sub-milestone is confirmed by the acting solicitor before the next unlocks.</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Held in escrow. Statutory fees may be released against evidence, under partner rules.</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Transferring. Sub-milestones: deed executed → consent applied → consent granted → stamp duty paid → registration lodged → registration complete.</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Every sub-milestone timestamp, evidence document, and the acting solicitor’s identity.</w:t>
            </w:r>
          </w:p>
        </w:tc>
      </w:tr>
      <w:tr>
        <w:tc>
          <w:tcPr>
            <w:tcW w:type="dxa" w:w="2232"/>
            <w:tcMar>
              <w:top w:type="dxa" w:w="80"/>
              <w:left w:type="dxa" w:w="110"/>
              <w:bottom w:type="dxa" w:w="80"/>
              <w:right w:type="dxa" w:w="110"/>
            </w:tcMar>
          </w:tcPr>
          <w:p>
            <w:pPr>
              <w:spacing w:after="0" w:line="260"/>
            </w:pPr>
            <w:r>
              <w:rPr>
                <w:b/>
                <w:bCs/>
                <w:sz w:val="19"/>
                <w:szCs w:val="19"/>
              </w:rPr>
              <w:t xml:space="preserve">Anchor firm role</w:t>
            </w:r>
          </w:p>
        </w:tc>
        <w:tc>
          <w:tcPr>
            <w:tcW w:type="dxa" w:w="7128"/>
            <w:tcMar>
              <w:top w:type="dxa" w:w="80"/>
              <w:left w:type="dxa" w:w="110"/>
              <w:bottom w:type="dxa" w:w="80"/>
              <w:right w:type="dxa" w:w="110"/>
            </w:tcMar>
          </w:tcPr>
          <w:p>
            <w:pPr>
              <w:spacing w:after="0" w:line="260"/>
            </w:pPr>
            <w:r>
              <w:rPr>
                <w:b w:val="false"/>
                <w:bCs w:val="false"/>
                <w:sz w:val="19"/>
                <w:szCs w:val="19"/>
              </w:rPr>
              <w:t xml:space="preserve">Executes and confirms each sub-milestone. Its updates are what the buyer watches.</w:t>
            </w:r>
          </w:p>
        </w:tc>
      </w:tr>
    </w:tbl>
    <w:p>
      <w:pPr>
        <w:spacing w:after="140"/>
      </w:pPr>
      <w:r>
        <w:rPr>
          <w:sz w:val="2"/>
          <w:szCs w:val="2"/>
        </w:rPr>
        <w:t xml:space="preserve"/>
      </w:r>
    </w:p>
    <w:p>
      <w:pPr>
        <w:spacing w:after="140" w:line="280"/>
      </w:pPr>
      <w:r>
        <w:rPr>
          <w:b/>
          <w:bCs/>
          <w:sz w:val="21"/>
          <w:szCs w:val="21"/>
        </w:rPr>
        <w:t xml:space="preserve">Visibility is the product here. </w:t>
      </w:r>
      <w:r>
        <w:rPr>
          <w:sz w:val="21"/>
          <w:szCs w:val="21"/>
        </w:rPr>
        <w:t xml:space="preserve">Governor’s Consent can take months and the silence during that wait is where trust historically collapses — buyers assume they have been defrauded because nobody tells them anything. A visible milestone tracker with WhatsApp updates at each step is, for a diaspora buyer, worth as much as the escrow itself.</w:t>
      </w:r>
    </w:p>
    <w:tbl>
      <w:tblPr>
        <w:tblW w:type="dxa" w:w="9360"/>
        <w:tblBorders>
          <w:top w:val="none"/>
          <w:left w:val="none"/>
          <w:bottom w:val="none"/>
          <w:right w:val="none"/>
          <w:insideH w:val="none"/>
          <w:insideV w:val="none"/>
        </w:tblBorders>
      </w:tblPr>
      <w:tblGrid>
        <w:gridCol w:w="7560"/>
        <w:gridCol w:w="1800"/>
      </w:tblGrid>
      <w:tr>
        <w:tc>
          <w:tcPr>
            <w:tcW w:type="dxa" w:w="7560"/>
            <w:shd w:fill="FBEDE4" w:color="auto" w:val="clear"/>
            <w:tcMar>
              <w:top w:type="dxa" w:w="100"/>
              <w:left w:type="dxa" w:w="140"/>
              <w:bottom w:type="dxa" w:w="100"/>
              <w:right w:type="dxa" w:w="100"/>
            </w:tcMar>
          </w:tcPr>
          <w:p>
            <w:pPr>
              <w:spacing w:after="0"/>
            </w:pPr>
            <w:r>
              <w:rPr>
                <w:b/>
                <w:bCs/>
                <w:color w:val="1A1A1A"/>
                <w:sz w:val="24"/>
                <w:szCs w:val="24"/>
              </w:rPr>
              <w:t xml:space="preserve">Stage 9 — Settlement &amp; handover</w:t>
            </w:r>
          </w:p>
        </w:tc>
        <w:tc>
          <w:tcPr>
            <w:tcW w:type="dxa" w:w="1800"/>
            <w:shd w:fill="FBEDE4" w:color="auto" w:val="clear"/>
            <w:tcMar>
              <w:top w:type="dxa" w:w="100"/>
              <w:left w:type="dxa" w:w="100"/>
              <w:bottom w:type="dxa" w:w="100"/>
              <w:right w:type="dxa" w:w="140"/>
            </w:tcMar>
          </w:tcPr>
          <w:p>
            <w:pPr>
              <w:spacing w:after="0"/>
              <w:jc w:val="right"/>
            </w:pPr>
            <w:r>
              <w:rPr>
                <w:b/>
                <w:bCs/>
                <w:color w:val="1F4E5F"/>
                <w:sz w:val="17"/>
                <w:szCs w:val="17"/>
              </w:rPr>
              <w:t xml:space="preserve">PHASE 2+</w:t>
            </w:r>
          </w:p>
        </w:tc>
      </w:tr>
    </w:tbl>
    <w:p>
      <w:pPr>
        <w:spacing w:after="100"/>
      </w:pPr>
      <w:r>
        <w:rPr>
          <w:sz w:val="2"/>
          <w:szCs w:val="2"/>
        </w:rPr>
        <w:t xml:space="preserve"/>
      </w:r>
    </w:p>
    <w:p>
      <w:pPr>
        <w:spacing w:after="140" w:line="280"/>
      </w:pPr>
      <w:r>
        <w:rPr>
          <w:sz w:val="21"/>
          <w:szCs w:val="21"/>
        </w:rPr>
        <w:t xml:space="preserve">Escrow releases against confirmed transfer. Possession passes. The transaction closes and becomes a permanent record — which is where the long-game data moat begins to compound.</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2232"/>
        <w:gridCol w:w="7128"/>
      </w:tblGrid>
      <w:tr>
        <w:tc>
          <w:tcPr>
            <w:tcW w:type="dxa" w:w="2232"/>
            <w:tcMar>
              <w:top w:type="dxa" w:w="80"/>
              <w:left w:type="dxa" w:w="110"/>
              <w:bottom w:type="dxa" w:w="80"/>
              <w:right w:type="dxa" w:w="110"/>
            </w:tcMar>
          </w:tcPr>
          <w:p>
            <w:pPr>
              <w:spacing w:after="0" w:line="260"/>
            </w:pPr>
            <w:r>
              <w:rPr>
                <w:b/>
                <w:bCs/>
                <w:sz w:val="19"/>
                <w:szCs w:val="19"/>
              </w:rPr>
              <w:t xml:space="preserve">Identity required</w:t>
            </w:r>
          </w:p>
        </w:tc>
        <w:tc>
          <w:tcPr>
            <w:tcW w:type="dxa" w:w="7128"/>
            <w:tcMar>
              <w:top w:type="dxa" w:w="80"/>
              <w:left w:type="dxa" w:w="110"/>
              <w:bottom w:type="dxa" w:w="80"/>
              <w:right w:type="dxa" w:w="110"/>
            </w:tcMar>
          </w:tcPr>
          <w:p>
            <w:pPr>
              <w:spacing w:after="0" w:line="260"/>
            </w:pPr>
            <w:r>
              <w:rPr>
                <w:b w:val="false"/>
                <w:bCs w:val="false"/>
                <w:sz w:val="19"/>
                <w:szCs w:val="19"/>
              </w:rPr>
              <w:t xml:space="preserve">L3 both sides.</w:t>
            </w:r>
          </w:p>
        </w:tc>
      </w:tr>
      <w:tr>
        <w:tc>
          <w:tcPr>
            <w:tcW w:type="dxa" w:w="2232"/>
            <w:tcMar>
              <w:top w:type="dxa" w:w="80"/>
              <w:left w:type="dxa" w:w="110"/>
              <w:bottom w:type="dxa" w:w="80"/>
              <w:right w:type="dxa" w:w="110"/>
            </w:tcMar>
          </w:tcPr>
          <w:p>
            <w:pPr>
              <w:spacing w:after="0" w:line="260"/>
            </w:pPr>
            <w:r>
              <w:rPr>
                <w:b/>
                <w:bCs/>
                <w:sz w:val="19"/>
                <w:szCs w:val="19"/>
              </w:rPr>
              <w:t xml:space="preserve">Trust gate</w:t>
            </w:r>
          </w:p>
        </w:tc>
        <w:tc>
          <w:tcPr>
            <w:tcW w:type="dxa" w:w="7128"/>
            <w:tcMar>
              <w:top w:type="dxa" w:w="80"/>
              <w:left w:type="dxa" w:w="110"/>
              <w:bottom w:type="dxa" w:w="80"/>
              <w:right w:type="dxa" w:w="110"/>
            </w:tcMar>
          </w:tcPr>
          <w:p>
            <w:pPr>
              <w:spacing w:after="0" w:line="260"/>
            </w:pPr>
            <w:r>
              <w:rPr>
                <w:b w:val="false"/>
                <w:bCs w:val="false"/>
                <w:sz w:val="19"/>
                <w:szCs w:val="19"/>
              </w:rPr>
              <w:t xml:space="preserve">Release requires confirmed registration or the agreed contractual trigger. Disputes freeze release and route to dispute tooling.</w:t>
            </w:r>
          </w:p>
        </w:tc>
      </w:tr>
      <w:tr>
        <w:tc>
          <w:tcPr>
            <w:tcW w:type="dxa" w:w="2232"/>
            <w:tcMar>
              <w:top w:type="dxa" w:w="80"/>
              <w:left w:type="dxa" w:w="110"/>
              <w:bottom w:type="dxa" w:w="80"/>
              <w:right w:type="dxa" w:w="110"/>
            </w:tcMar>
          </w:tcPr>
          <w:p>
            <w:pPr>
              <w:spacing w:after="0" w:line="260"/>
            </w:pPr>
            <w:r>
              <w:rPr>
                <w:b/>
                <w:bCs/>
                <w:sz w:val="19"/>
                <w:szCs w:val="19"/>
              </w:rPr>
              <w:t xml:space="preserve">Money</w:t>
            </w:r>
          </w:p>
        </w:tc>
        <w:tc>
          <w:tcPr>
            <w:tcW w:type="dxa" w:w="7128"/>
            <w:tcMar>
              <w:top w:type="dxa" w:w="80"/>
              <w:left w:type="dxa" w:w="110"/>
              <w:bottom w:type="dxa" w:w="80"/>
              <w:right w:type="dxa" w:w="110"/>
            </w:tcMar>
          </w:tcPr>
          <w:p>
            <w:pPr>
              <w:spacing w:after="0" w:line="260"/>
            </w:pPr>
            <w:r>
              <w:rPr>
                <w:b w:val="false"/>
                <w:bCs w:val="false"/>
                <w:sz w:val="19"/>
                <w:szCs w:val="19"/>
              </w:rPr>
              <w:t xml:space="preserve">Escrow releases to seller. Agency commission and platform fee settle from the locked ledger — no surprises, because everything was agreed at Stage 5.</w:t>
            </w:r>
          </w:p>
        </w:tc>
      </w:tr>
      <w:tr>
        <w:tc>
          <w:tcPr>
            <w:tcW w:type="dxa" w:w="2232"/>
            <w:tcMar>
              <w:top w:type="dxa" w:w="80"/>
              <w:left w:type="dxa" w:w="110"/>
              <w:bottom w:type="dxa" w:w="80"/>
              <w:right w:type="dxa" w:w="110"/>
            </w:tcMar>
          </w:tcPr>
          <w:p>
            <w:pPr>
              <w:spacing w:after="0" w:line="260"/>
            </w:pPr>
            <w:r>
              <w:rPr>
                <w:b/>
                <w:bCs/>
                <w:sz w:val="19"/>
                <w:szCs w:val="19"/>
              </w:rPr>
              <w:t xml:space="preserve">Title</w:t>
            </w:r>
          </w:p>
        </w:tc>
        <w:tc>
          <w:tcPr>
            <w:tcW w:type="dxa" w:w="7128"/>
            <w:tcMar>
              <w:top w:type="dxa" w:w="80"/>
              <w:left w:type="dxa" w:w="110"/>
              <w:bottom w:type="dxa" w:w="80"/>
              <w:right w:type="dxa" w:w="110"/>
            </w:tcMar>
          </w:tcPr>
          <w:p>
            <w:pPr>
              <w:spacing w:after="0" w:line="260"/>
            </w:pPr>
            <w:r>
              <w:rPr>
                <w:b w:val="false"/>
                <w:bCs w:val="false"/>
                <w:sz w:val="19"/>
                <w:szCs w:val="19"/>
              </w:rPr>
              <w:t xml:space="preserve">Transferred and registered. Recorded against the property record permanently.</w:t>
            </w:r>
          </w:p>
        </w:tc>
      </w:tr>
      <w:tr>
        <w:tc>
          <w:tcPr>
            <w:tcW w:type="dxa" w:w="2232"/>
            <w:tcMar>
              <w:top w:type="dxa" w:w="80"/>
              <w:left w:type="dxa" w:w="110"/>
              <w:bottom w:type="dxa" w:w="80"/>
              <w:right w:type="dxa" w:w="110"/>
            </w:tcMar>
          </w:tcPr>
          <w:p>
            <w:pPr>
              <w:spacing w:after="0" w:line="260"/>
            </w:pPr>
            <w:r>
              <w:rPr>
                <w:b/>
                <w:bCs/>
                <w:sz w:val="19"/>
                <w:szCs w:val="19"/>
              </w:rPr>
              <w:t xml:space="preserve">Unö holds</w:t>
            </w:r>
          </w:p>
        </w:tc>
        <w:tc>
          <w:tcPr>
            <w:tcW w:type="dxa" w:w="7128"/>
            <w:tcMar>
              <w:top w:type="dxa" w:w="80"/>
              <w:left w:type="dxa" w:w="110"/>
              <w:bottom w:type="dxa" w:w="80"/>
              <w:right w:type="dxa" w:w="110"/>
            </w:tcMar>
          </w:tcPr>
          <w:p>
            <w:pPr>
              <w:spacing w:after="0" w:line="260"/>
            </w:pPr>
            <w:r>
              <w:rPr>
                <w:b w:val="false"/>
                <w:bCs w:val="false"/>
                <w:sz w:val="19"/>
                <w:szCs w:val="19"/>
              </w:rPr>
              <w:t xml:space="preserve">The completed transaction: settled price, timeline, parties, fees, and verification history.</w:t>
            </w:r>
          </w:p>
        </w:tc>
      </w:tr>
      <w:tr>
        <w:tc>
          <w:tcPr>
            <w:tcW w:type="dxa" w:w="2232"/>
            <w:tcMar>
              <w:top w:type="dxa" w:w="80"/>
              <w:left w:type="dxa" w:w="110"/>
              <w:bottom w:type="dxa" w:w="80"/>
              <w:right w:type="dxa" w:w="110"/>
            </w:tcMar>
          </w:tcPr>
          <w:p>
            <w:pPr>
              <w:spacing w:after="0" w:line="260"/>
            </w:pPr>
            <w:r>
              <w:rPr>
                <w:b/>
                <w:bCs/>
                <w:sz w:val="19"/>
                <w:szCs w:val="19"/>
              </w:rPr>
              <w:t xml:space="preserve">What it produces</w:t>
            </w:r>
          </w:p>
        </w:tc>
        <w:tc>
          <w:tcPr>
            <w:tcW w:type="dxa" w:w="7128"/>
            <w:tcMar>
              <w:top w:type="dxa" w:w="80"/>
              <w:left w:type="dxa" w:w="110"/>
              <w:bottom w:type="dxa" w:w="80"/>
              <w:right w:type="dxa" w:w="110"/>
            </w:tcMar>
          </w:tcPr>
          <w:p>
            <w:pPr>
              <w:spacing w:after="0" w:line="260"/>
            </w:pPr>
            <w:r>
              <w:rPr>
                <w:b w:val="false"/>
                <w:bCs w:val="false"/>
                <w:sz w:val="19"/>
                <w:szCs w:val="19"/>
              </w:rPr>
              <w:t xml:space="preserve">A verified title record, a completed-transaction credit on both parties’ track records, and one more datapoint toward the Unö Estimate.</w:t>
            </w:r>
          </w:p>
        </w:tc>
      </w:tr>
    </w:tbl>
    <w:p>
      <w:pPr>
        <w:spacing w:after="140"/>
      </w:pPr>
      <w:r>
        <w:rPr>
          <w:sz w:val="2"/>
          <w:szCs w:val="2"/>
        </w:rPr>
        <w:t xml:space="preserve"/>
      </w:r>
    </w:p>
    <w:p>
      <w:pPr>
        <w:spacing w:after="140" w:line="280"/>
      </w:pPr>
      <w:r>
        <w:rPr>
          <w:b/>
          <w:bCs/>
          <w:sz w:val="21"/>
          <w:szCs w:val="21"/>
        </w:rPr>
        <w:t xml:space="preserve">Why this stage matters beyond the deal: </w:t>
      </w:r>
      <w:r>
        <w:rPr>
          <w:sz w:val="21"/>
          <w:szCs w:val="21"/>
        </w:rPr>
        <w:t xml:space="preserve">every completed transaction adds a real settled price to a dataset that does not otherwise exist in Nigeria. That is what eventually replaces the Comparable Listings Range with a genuine valuation model, and it is a moat no competitor can copy without building the same escrow rail first.</w:t>
      </w:r>
    </w:p>
    <w:p>
      <w:pPr>
        <w:pStyle w:val="Heading1"/>
        <w:spacing w:after="160" w:before="360"/>
      </w:pPr>
      <w:r>
        <w:rPr>
          <w:b/>
          <w:bCs/>
          <w:color w:val="1F4E5F"/>
          <w:sz w:val="30"/>
          <w:szCs w:val="30"/>
        </w:rPr>
        <w:t xml:space="preserve">Where Phase 1 fits</w:t>
      </w:r>
    </w:p>
    <w:p>
      <w:pPr>
        <w:spacing w:after="140" w:line="280"/>
      </w:pPr>
      <w:r>
        <w:rPr>
          <w:sz w:val="21"/>
          <w:szCs w:val="21"/>
        </w:rPr>
        <w:t xml:space="preserve">Read against the nine stages, the Trust MVP delivers a complete, honest experience of the first four — and stops cleanly at the line where money would move.</w:t>
      </w:r>
    </w:p>
    <w:tbl>
      <w:tblPr>
        <w:tblW w:type="dxa" w:w="9360"/>
        <w:tblBorders>
          <w:top w:val="single" w:color="B8C4CC" w:sz="4"/>
          <w:left w:val="single" w:color="B8C4CC" w:sz="4"/>
          <w:bottom w:val="single" w:color="B8C4CC" w:sz="4"/>
          <w:right w:val="single" w:color="B8C4CC" w:sz="4"/>
          <w:insideH w:val="single" w:color="D5DDE2" w:sz="3"/>
          <w:insideV w:val="single" w:color="D5DDE2" w:sz="3"/>
        </w:tblBorders>
      </w:tblPr>
      <w:tblGrid>
        <w:gridCol w:w="4680"/>
        <w:gridCol w:w="4680"/>
      </w:tblGrid>
      <w:tr>
        <w:trPr>
          <w:tblHeader/>
        </w:trPr>
        <w:tc>
          <w:tcPr>
            <w:tcW w:type="dxa" w:w="4680"/>
            <w:shd w:fill="E8EEF1" w:color="auto" w:val="clear"/>
            <w:tcMar>
              <w:top w:type="dxa" w:w="80"/>
              <w:left w:type="dxa" w:w="110"/>
              <w:bottom w:type="dxa" w:w="80"/>
              <w:right w:type="dxa" w:w="110"/>
            </w:tcMar>
          </w:tcPr>
          <w:p>
            <w:pPr>
              <w:spacing w:after="0" w:line="260"/>
            </w:pPr>
            <w:r>
              <w:rPr>
                <w:b/>
                <w:bCs/>
                <w:sz w:val="19"/>
                <w:szCs w:val="19"/>
              </w:rPr>
              <w:t xml:space="preserve">Phase 1 delivers</w:t>
            </w:r>
          </w:p>
        </w:tc>
        <w:tc>
          <w:tcPr>
            <w:tcW w:type="dxa" w:w="4680"/>
            <w:shd w:fill="E8EEF1" w:color="auto" w:val="clear"/>
            <w:tcMar>
              <w:top w:type="dxa" w:w="80"/>
              <w:left w:type="dxa" w:w="110"/>
              <w:bottom w:type="dxa" w:w="80"/>
              <w:right w:type="dxa" w:w="110"/>
            </w:tcMar>
          </w:tcPr>
          <w:p>
            <w:pPr>
              <w:spacing w:after="0" w:line="260"/>
            </w:pPr>
            <w:r>
              <w:rPr>
                <w:b/>
                <w:bCs/>
                <w:sz w:val="19"/>
                <w:szCs w:val="19"/>
              </w:rPr>
              <w:t xml:space="preserve">Phase 2 adds</w:t>
            </w:r>
          </w:p>
        </w:tc>
      </w:tr>
      <w:tr>
        <w:tc>
          <w:tcPr>
            <w:tcW w:type="dxa" w:w="4680"/>
            <w:tcMar>
              <w:top w:type="dxa" w:w="80"/>
              <w:left w:type="dxa" w:w="110"/>
              <w:bottom w:type="dxa" w:w="80"/>
              <w:right w:type="dxa" w:w="110"/>
            </w:tcMar>
          </w:tcPr>
          <w:p>
            <w:pPr>
              <w:spacing w:after="0" w:line="260"/>
            </w:pPr>
            <w:r>
              <w:rPr>
                <w:b w:val="false"/>
                <w:bCs w:val="false"/>
                <w:sz w:val="19"/>
                <w:szCs w:val="19"/>
              </w:rPr>
              <w:t xml:space="preserve">Search, save, alerts (Stage 1)</w:t>
            </w:r>
          </w:p>
        </w:tc>
        <w:tc>
          <w:tcPr>
            <w:tcW w:type="dxa" w:w="4680"/>
            <w:tcMar>
              <w:top w:type="dxa" w:w="80"/>
              <w:left w:type="dxa" w:w="110"/>
              <w:bottom w:type="dxa" w:w="80"/>
              <w:right w:type="dxa" w:w="110"/>
            </w:tcMar>
          </w:tcPr>
          <w:p>
            <w:pPr>
              <w:spacing w:after="0" w:line="260"/>
            </w:pPr>
            <w:r>
              <w:rPr>
                <w:b w:val="false"/>
                <w:bCs w:val="false"/>
                <w:sz w:val="19"/>
                <w:szCs w:val="19"/>
              </w:rPr>
              <w:t xml:space="preserve">Formal offers and acceptance (Stage 5)</w:t>
            </w:r>
          </w:p>
        </w:tc>
      </w:tr>
      <w:tr>
        <w:tc>
          <w:tcPr>
            <w:tcW w:type="dxa" w:w="4680"/>
            <w:tcMar>
              <w:top w:type="dxa" w:w="80"/>
              <w:left w:type="dxa" w:w="110"/>
              <w:bottom w:type="dxa" w:w="80"/>
              <w:right w:type="dxa" w:w="110"/>
            </w:tcMar>
          </w:tcPr>
          <w:p>
            <w:pPr>
              <w:spacing w:after="0" w:line="260"/>
            </w:pPr>
            <w:r>
              <w:rPr>
                <w:b w:val="false"/>
                <w:bCs w:val="false"/>
                <w:sz w:val="19"/>
                <w:szCs w:val="19"/>
              </w:rPr>
              <w:t xml:space="preserve">Verified contact and proxied chat (Stage 2)</w:t>
            </w:r>
          </w:p>
        </w:tc>
        <w:tc>
          <w:tcPr>
            <w:tcW w:type="dxa" w:w="4680"/>
            <w:tcMar>
              <w:top w:type="dxa" w:w="80"/>
              <w:left w:type="dxa" w:w="110"/>
              <w:bottom w:type="dxa" w:w="80"/>
              <w:right w:type="dxa" w:w="110"/>
            </w:tcMar>
          </w:tcPr>
          <w:p>
            <w:pPr>
              <w:spacing w:after="0" w:line="260"/>
            </w:pPr>
            <w:r>
              <w:rPr>
                <w:b w:val="false"/>
                <w:bCs w:val="false"/>
                <w:sz w:val="19"/>
                <w:szCs w:val="19"/>
              </w:rPr>
              <w:t xml:space="preserve">Contract generation, e-sign, audit log (Stage 6)</w:t>
            </w:r>
          </w:p>
        </w:tc>
      </w:tr>
      <w:tr>
        <w:tc>
          <w:tcPr>
            <w:tcW w:type="dxa" w:w="4680"/>
            <w:tcMar>
              <w:top w:type="dxa" w:w="80"/>
              <w:left w:type="dxa" w:w="110"/>
              <w:bottom w:type="dxa" w:w="80"/>
              <w:right w:type="dxa" w:w="110"/>
            </w:tcMar>
          </w:tcPr>
          <w:p>
            <w:pPr>
              <w:spacing w:after="0" w:line="260"/>
            </w:pPr>
            <w:r>
              <w:rPr>
                <w:b w:val="false"/>
                <w:bCs w:val="false"/>
                <w:sz w:val="19"/>
                <w:szCs w:val="19"/>
              </w:rPr>
              <w:t xml:space="preserve">Inspection booking and certified reports (Stage 3)</w:t>
            </w:r>
          </w:p>
        </w:tc>
        <w:tc>
          <w:tcPr>
            <w:tcW w:type="dxa" w:w="4680"/>
            <w:tcMar>
              <w:top w:type="dxa" w:w="80"/>
              <w:left w:type="dxa" w:w="110"/>
              <w:bottom w:type="dxa" w:w="80"/>
              <w:right w:type="dxa" w:w="110"/>
            </w:tcMar>
          </w:tcPr>
          <w:p>
            <w:pPr>
              <w:spacing w:after="0" w:line="260"/>
            </w:pPr>
            <w:r>
              <w:rPr>
                <w:b w:val="false"/>
                <w:bCs w:val="false"/>
                <w:sz w:val="19"/>
                <w:szCs w:val="19"/>
              </w:rPr>
              <w:t xml:space="preserve">Licensed escrow funding (Stage 7)</w:t>
            </w:r>
          </w:p>
        </w:tc>
      </w:tr>
      <w:tr>
        <w:tc>
          <w:tcPr>
            <w:tcW w:type="dxa" w:w="4680"/>
            <w:tcMar>
              <w:top w:type="dxa" w:w="80"/>
              <w:left w:type="dxa" w:w="110"/>
              <w:bottom w:type="dxa" w:w="80"/>
              <w:right w:type="dxa" w:w="110"/>
            </w:tcMar>
          </w:tcPr>
          <w:p>
            <w:pPr>
              <w:spacing w:after="0" w:line="260"/>
            </w:pPr>
            <w:r>
              <w:rPr>
                <w:b w:val="false"/>
                <w:bCs w:val="false"/>
                <w:sz w:val="19"/>
                <w:szCs w:val="19"/>
              </w:rPr>
              <w:t xml:space="preserve">Registry verification and Trust Panel (Stage 4)</w:t>
            </w:r>
          </w:p>
        </w:tc>
        <w:tc>
          <w:tcPr>
            <w:tcW w:type="dxa" w:w="4680"/>
            <w:tcMar>
              <w:top w:type="dxa" w:w="80"/>
              <w:left w:type="dxa" w:w="110"/>
              <w:bottom w:type="dxa" w:w="80"/>
              <w:right w:type="dxa" w:w="110"/>
            </w:tcMar>
          </w:tcPr>
          <w:p>
            <w:pPr>
              <w:spacing w:after="0" w:line="260"/>
            </w:pPr>
            <w:r>
              <w:rPr>
                <w:b w:val="false"/>
                <w:bCs w:val="false"/>
                <w:sz w:val="19"/>
                <w:szCs w:val="19"/>
              </w:rPr>
              <w:t xml:space="preserve">Tracked title transfer sub-milestones (Stage 8)</w:t>
            </w:r>
          </w:p>
        </w:tc>
      </w:tr>
      <w:tr>
        <w:tc>
          <w:tcPr>
            <w:tcW w:type="dxa" w:w="4680"/>
            <w:tcMar>
              <w:top w:type="dxa" w:w="80"/>
              <w:left w:type="dxa" w:w="110"/>
              <w:bottom w:type="dxa" w:w="80"/>
              <w:right w:type="dxa" w:w="110"/>
            </w:tcMar>
          </w:tcPr>
          <w:p>
            <w:pPr>
              <w:spacing w:after="0" w:line="260"/>
            </w:pPr>
            <w:r>
              <w:rPr>
                <w:b w:val="false"/>
                <w:bCs w:val="false"/>
                <w:sz w:val="19"/>
                <w:szCs w:val="19"/>
              </w:rPr>
              <w:t xml:space="preserve">Fee ledger, disclosed early</w:t>
            </w:r>
          </w:p>
        </w:tc>
        <w:tc>
          <w:tcPr>
            <w:tcW w:type="dxa" w:w="4680"/>
            <w:tcMar>
              <w:top w:type="dxa" w:w="80"/>
              <w:left w:type="dxa" w:w="110"/>
              <w:bottom w:type="dxa" w:w="80"/>
              <w:right w:type="dxa" w:w="110"/>
            </w:tcMar>
          </w:tcPr>
          <w:p>
            <w:pPr>
              <w:spacing w:after="0" w:line="260"/>
            </w:pPr>
            <w:r>
              <w:rPr>
                <w:b w:val="false"/>
                <w:bCs w:val="false"/>
                <w:sz w:val="19"/>
                <w:szCs w:val="19"/>
              </w:rPr>
              <w:t xml:space="preserve">Settlement, release, and permanent record (Stage 9)</w:t>
            </w:r>
          </w:p>
        </w:tc>
      </w:tr>
      <w:tr>
        <w:tc>
          <w:tcPr>
            <w:tcW w:type="dxa" w:w="4680"/>
            <w:tcMar>
              <w:top w:type="dxa" w:w="80"/>
              <w:left w:type="dxa" w:w="110"/>
              <w:bottom w:type="dxa" w:w="80"/>
              <w:right w:type="dxa" w:w="110"/>
            </w:tcMar>
          </w:tcPr>
          <w:p>
            <w:pPr>
              <w:spacing w:after="0" w:line="260"/>
            </w:pPr>
            <w:r>
              <w:rPr>
                <w:b w:val="false"/>
                <w:bCs w:val="false"/>
                <w:sz w:val="19"/>
                <w:szCs w:val="19"/>
              </w:rPr>
              <w:t xml:space="preserve">Agent and firm verification, admin review</w:t>
            </w:r>
          </w:p>
        </w:tc>
        <w:tc>
          <w:tcPr>
            <w:tcW w:type="dxa" w:w="4680"/>
            <w:tcMar>
              <w:top w:type="dxa" w:w="80"/>
              <w:left w:type="dxa" w:w="110"/>
              <w:bottom w:type="dxa" w:w="80"/>
              <w:right w:type="dxa" w:w="110"/>
            </w:tcMar>
          </w:tcPr>
          <w:p>
            <w:pPr>
              <w:spacing w:after="0" w:line="260"/>
            </w:pPr>
            <w:r>
              <w:rPr>
                <w:b w:val="false"/>
                <w:bCs w:val="false"/>
                <w:sz w:val="19"/>
                <w:szCs w:val="19"/>
              </w:rPr>
              <w:t xml:space="preserve">Dispute tooling and remediation</w:t>
            </w:r>
          </w:p>
        </w:tc>
      </w:tr>
    </w:tbl>
    <w:p>
      <w:pPr>
        <w:spacing w:after="160"/>
      </w:pPr>
      <w:r>
        <w:rPr>
          <w:sz w:val="2"/>
          <w:szCs w:val="2"/>
        </w:rPr>
        <w:t xml:space="preserve"/>
      </w:r>
    </w:p>
    <w:p>
      <w:pPr>
        <w:spacing w:after="140" w:line="280"/>
      </w:pPr>
      <w:r>
        <w:rPr>
          <w:b/>
          <w:bCs/>
          <w:sz w:val="21"/>
          <w:szCs w:val="21"/>
        </w:rPr>
        <w:t xml:space="preserve">The demo narrative for Julie and for a prospective co-founder: </w:t>
      </w:r>
      <w:r>
        <w:rPr>
          <w:sz w:val="21"/>
          <w:szCs w:val="21"/>
        </w:rPr>
        <w:t xml:space="preserve">a buyer finds a genuinely verified property, sees exactly what it will cost in total, contacts a verified agent, books an inspection, and reads a registry check performed by a named firm — all on a phone, on Nigerian data. Then the honest sentence: "and the next thing we build is the part that holds the money, which is why we need you."</w:t>
      </w:r>
    </w:p>
    <w:p>
      <w:pPr>
        <w:pStyle w:val="Heading1"/>
        <w:spacing w:after="160" w:before="360"/>
      </w:pPr>
      <w:r>
        <w:rPr>
          <w:b/>
          <w:bCs/>
          <w:color w:val="1F4E5F"/>
          <w:sz w:val="30"/>
          <w:szCs w:val="30"/>
        </w:rPr>
        <w:t xml:space="preserve">Open questions for the anchor firm</w:t>
      </w:r>
    </w:p>
    <w:p>
      <w:pPr>
        <w:spacing w:after="140" w:line="280"/>
      </w:pPr>
      <w:r>
        <w:rPr>
          <w:sz w:val="21"/>
          <w:szCs w:val="21"/>
        </w:rPr>
        <w:t xml:space="preserve">These are the points in this document that the anchor firm should be invited to redline, because they carry the professional risk on the answers.</w:t>
      </w:r>
    </w:p>
    <w:p>
      <w:pPr>
        <w:pStyle w:val="ListParagraph"/>
        <w:numPr>
          <w:ilvl w:val="0"/>
          <w:numId w:val="2"/>
        </w:numPr>
        <w:spacing w:after="90" w:line="280"/>
      </w:pPr>
      <w:r>
        <w:rPr>
          <w:b/>
          <w:bCs/>
          <w:sz w:val="21"/>
          <w:szCs w:val="21"/>
        </w:rPr>
        <w:t xml:space="preserve">Turnaround and cost of a registry check.</w:t>
      </w:r>
      <w:r>
        <w:rPr>
          <w:sz w:val="21"/>
          <w:szCs w:val="21"/>
        </w:rPr>
        <w:t xml:space="preserve"> Sets whether Stage 4 works as designed. Everything downstream depends on it.</w:t>
      </w:r>
    </w:p>
    <w:p>
      <w:pPr>
        <w:pStyle w:val="ListParagraph"/>
        <w:numPr>
          <w:ilvl w:val="0"/>
          <w:numId w:val="2"/>
        </w:numPr>
        <w:spacing w:after="90" w:line="280"/>
      </w:pPr>
      <w:r>
        <w:rPr>
          <w:b/>
          <w:bCs/>
          <w:sz w:val="21"/>
          <w:szCs w:val="21"/>
        </w:rPr>
        <w:t xml:space="preserve">The minimum documentary standard</w:t>
      </w:r>
      <w:r>
        <w:rPr>
          <w:sz w:val="21"/>
          <w:szCs w:val="21"/>
        </w:rPr>
        <w:t xml:space="preserve"> the firm would stake its name on. This becomes the Registry-Verified definition, verbatim.</w:t>
      </w:r>
    </w:p>
    <w:p>
      <w:pPr>
        <w:pStyle w:val="ListParagraph"/>
        <w:numPr>
          <w:ilvl w:val="0"/>
          <w:numId w:val="2"/>
        </w:numPr>
        <w:spacing w:after="90" w:line="280"/>
      </w:pPr>
      <w:r>
        <w:rPr>
          <w:b/>
          <w:bCs/>
          <w:sz w:val="21"/>
          <w:szCs w:val="21"/>
        </w:rPr>
        <w:t xml:space="preserve">The scope statement.</w:t>
      </w:r>
      <w:r>
        <w:rPr>
          <w:sz w:val="21"/>
          <w:szCs w:val="21"/>
        </w:rPr>
        <w:t xml:space="preserve"> What exactly does a verification warrant, and what does it explicitly not? This wording is the company’s liability shield and should be the firm’s words, not ours.</w:t>
      </w:r>
    </w:p>
    <w:p>
      <w:pPr>
        <w:pStyle w:val="ListParagraph"/>
        <w:numPr>
          <w:ilvl w:val="0"/>
          <w:numId w:val="2"/>
        </w:numPr>
        <w:spacing w:after="90" w:line="280"/>
      </w:pPr>
      <w:r>
        <w:rPr>
          <w:b/>
          <w:bCs/>
          <w:sz w:val="21"/>
          <w:szCs w:val="21"/>
        </w:rPr>
        <w:t xml:space="preserve">Lagos coverage.</w:t>
      </w:r>
      <w:r>
        <w:rPr>
          <w:sz w:val="21"/>
          <w:szCs w:val="21"/>
        </w:rPr>
        <w:t xml:space="preserve"> A different registry and a different network. Which partners cover it?</w:t>
      </w:r>
    </w:p>
    <w:p>
      <w:pPr>
        <w:pStyle w:val="ListParagraph"/>
        <w:numPr>
          <w:ilvl w:val="0"/>
          <w:numId w:val="2"/>
        </w:numPr>
        <w:spacing w:after="90" w:line="280"/>
      </w:pPr>
      <w:r>
        <w:rPr>
          <w:b/>
          <w:bCs/>
          <w:sz w:val="21"/>
          <w:szCs w:val="21"/>
        </w:rPr>
        <w:t xml:space="preserve">Indemnity and remediation.</w:t>
      </w:r>
      <w:r>
        <w:rPr>
          <w:sz w:val="21"/>
          <w:szCs w:val="21"/>
        </w:rPr>
        <w:t xml:space="preserve"> What happens, concretely, if a Registry-Verified listing turns out to be fraudulent? Agreeing this before launch is what makes the tier credible.</w:t>
      </w:r>
    </w:p>
    <w:p>
      <w:pPr>
        <w:pBdr>
          <w:bottom w:val="single" w:color="CCCCCC" w:sz="6" w:space="6"/>
        </w:pBdr>
        <w:spacing w:after="120" w:before="120"/>
      </w:pPr>
      <w:r>
        <w:rPr>
          <w:sz w:val="2"/>
          <w:szCs w:val="2"/>
        </w:rPr>
        <w:t xml:space="preserve"/>
      </w:r>
    </w:p>
    <w:p>
      <w:pPr>
        <w:pStyle w:val="Heading2"/>
        <w:spacing w:after="120" w:before="260"/>
      </w:pPr>
      <w:r>
        <w:rPr>
          <w:b/>
          <w:bCs/>
          <w:color w:val="1F4E5F"/>
          <w:sz w:val="24"/>
          <w:szCs w:val="24"/>
        </w:rPr>
        <w:t xml:space="preserve">Changelog</w:t>
      </w:r>
    </w:p>
    <w:p>
      <w:pPr>
        <w:spacing w:after="140" w:line="280"/>
      </w:pPr>
      <w:r>
        <w:rPr>
          <w:b/>
          <w:bCs/>
          <w:sz w:val="21"/>
          <w:szCs w:val="21"/>
        </w:rPr>
        <w:t xml:space="preserve">v1</w:t>
      </w:r>
      <w:r>
        <w:rPr>
          <w:sz w:val="21"/>
          <w:szCs w:val="21"/>
        </w:rPr>
        <w:t xml:space="preserve"> — Five identity levels, buyer/agent/firm/admin onboarding flows, five verification tiers with explicit scope limits, and the nine-stage transaction flow with Phase 1 / Phase 2+ boundaries, trust gates, and money/contract/title movement per stage.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Unö — Onboarding &amp; Milestones  ·  Confidential  ·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Unö — Onboarding &amp; Milestones</dc:title>
  <dc:creator>Unö</dc:creator>
  <dc:description>Role-based onboarding and the nine-stage transaction flow</dc:description>
  <cp:lastModifiedBy>Un-named</cp:lastModifiedBy>
  <cp:revision>1</cp:revision>
  <dcterms:created xsi:type="dcterms:W3CDTF">2026-07-22T01:53:13.513Z</dcterms:created>
  <dcterms:modified xsi:type="dcterms:W3CDTF">2026-07-22T01:53:13.513Z</dcterms:modified>
</cp:coreProperties>
</file>

<file path=docProps/custom.xml><?xml version="1.0" encoding="utf-8"?>
<Properties xmlns="http://schemas.openxmlformats.org/officeDocument/2006/custom-properties" xmlns:vt="http://schemas.openxmlformats.org/officeDocument/2006/docPropsVTypes"/>
</file>