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4E5F"/>
          <w:sz w:val="72"/>
          <w:szCs w:val="72"/>
        </w:rPr>
        <w:t xml:space="preserve">Unö</w:t>
      </w:r>
    </w:p>
    <w:p>
      <w:pPr>
        <w:spacing w:after="200"/>
      </w:pPr>
      <w:r>
        <w:rPr>
          <w:b/>
          <w:bCs/>
          <w:color w:val="2A2A2A"/>
          <w:sz w:val="40"/>
          <w:szCs w:val="40"/>
        </w:rPr>
        <w:t xml:space="preserve">Strategy Roadmap</w:t>
      </w:r>
    </w:p>
    <w:p>
      <w:pPr>
        <w:spacing w:after="60"/>
      </w:pPr>
      <w:r>
        <w:rPr>
          <w:i/>
          <w:iCs/>
          <w:color w:val="5A5A5A"/>
          <w:sz w:val="22"/>
          <w:szCs w:val="22"/>
        </w:rPr>
        <w:t xml:space="preserve">Market analysis, business model, phased plan, and partnership strategy for a trust-first Nigerian real estate platform.</w:t>
      </w:r>
    </w:p>
    <w:p>
      <w:pPr>
        <w:spacing w:after="40"/>
      </w:pPr>
      <w:r>
        <w:rPr>
          <w:i/>
          <w:iCs/>
          <w:color w:val="5A5A5A"/>
          <w:sz w:val="20"/>
          <w:szCs w:val="20"/>
        </w:rPr>
        <w:t xml:space="preserve">Companion to the Build Brief, Product Feature Spec, Onboarding &amp; Milestones, and Tech Spec.</w:t>
      </w:r>
    </w:p>
    <w:p>
      <w:pPr>
        <w:spacing w:after="300"/>
      </w:pPr>
      <w:r>
        <w:rPr>
          <w:i/>
          <w:iCs/>
          <w:color w:val="5A5A5A"/>
          <w:sz w:val="20"/>
          <w:szCs w:val="20"/>
        </w:rPr>
        <w:t xml:space="preserve">Version 1  ·  July 2026  ·  Confidential</w:t>
      </w:r>
    </w:p>
    <w:p>
      <w:pPr>
        <w:pBdr>
          <w:bottom w:val="single" w:color="CCCCCC" w:sz="6" w:space="6"/>
        </w:pBdr>
        <w:spacing w:after="120" w:before="120"/>
      </w:pPr>
      <w:r>
        <w:rPr>
          <w:sz w:val="2"/>
          <w:szCs w:val="2"/>
        </w:rPr>
        <w:t xml:space="preserve"/>
      </w:r>
    </w:p>
    <w:p>
      <w:pPr>
        <w:pStyle w:val="Heading1"/>
        <w:spacing w:after="160" w:before="360"/>
      </w:pPr>
      <w:r>
        <w:rPr>
          <w:b/>
          <w:bCs/>
          <w:color w:val="1F4E5F"/>
          <w:sz w:val="30"/>
          <w:szCs w:val="30"/>
        </w:rPr>
        <w:t xml:space="preserve">Assumptions declared up front</w:t>
      </w:r>
    </w:p>
    <w:p>
      <w:pPr>
        <w:spacing w:after="140" w:line="280"/>
      </w:pPr>
      <w:r>
        <w:rPr>
          <w:sz w:val="21"/>
          <w:szCs w:val="21"/>
        </w:rPr>
        <w:t xml:space="preserve">Where this document assumes rather than knows, it says so. Anything marked </w:t>
      </w:r>
      <w:r>
        <w:rPr>
          <w:b/>
          <w:bCs/>
          <w:sz w:val="21"/>
          <w:szCs w:val="21"/>
        </w:rPr>
        <w:t xml:space="preserve">[ASSUMPTION]</w:t>
      </w:r>
      <w:r>
        <w:rPr>
          <w:sz w:val="21"/>
          <w:szCs w:val="21"/>
        </w:rPr>
        <w:t xml:space="preserve"> should be confirmed or corrected before this doc is shown externally.</w:t>
      </w:r>
    </w:p>
    <w:p>
      <w:pPr>
        <w:pStyle w:val="ListParagraph"/>
        <w:numPr>
          <w:ilvl w:val="0"/>
          <w:numId w:val="2"/>
        </w:numPr>
        <w:spacing w:after="90" w:line="280"/>
      </w:pPr>
      <w:r>
        <w:rPr>
          <w:b/>
          <w:bCs/>
          <w:sz w:val="21"/>
          <w:szCs w:val="21"/>
        </w:rPr>
        <w:t xml:space="preserve">[ASSUMPTION] </w:t>
      </w:r>
      <w:r>
        <w:rPr>
          <w:sz w:val="21"/>
          <w:szCs w:val="21"/>
        </w:rPr>
        <w:t xml:space="preserve">Julie Uzor / J.U. Uzor &amp; Associates joins as anchor partner and equity co-founder entity, with AEGIS and her legal partners providing verification backbone. Not yet agreed — this doc is written to be shown to her, so it states the offer, not a fait accompli.</w:t>
      </w:r>
    </w:p>
    <w:p>
      <w:pPr>
        <w:pStyle w:val="ListParagraph"/>
        <w:numPr>
          <w:ilvl w:val="0"/>
          <w:numId w:val="2"/>
        </w:numPr>
        <w:spacing w:after="90" w:line="280"/>
      </w:pPr>
      <w:r>
        <w:rPr>
          <w:b/>
          <w:bCs/>
          <w:sz w:val="21"/>
          <w:szCs w:val="21"/>
        </w:rPr>
        <w:t xml:space="preserve">[ASSUMPTION] </w:t>
      </w:r>
      <w:r>
        <w:rPr>
          <w:sz w:val="21"/>
          <w:szCs w:val="21"/>
        </w:rPr>
        <w:t xml:space="preserve">Bootstrapped to revenue; Phase 1 doubles as a fundraising artifact if outside capital becomes necessary.</w:t>
      </w:r>
    </w:p>
    <w:p>
      <w:pPr>
        <w:pStyle w:val="ListParagraph"/>
        <w:numPr>
          <w:ilvl w:val="0"/>
          <w:numId w:val="2"/>
        </w:numPr>
        <w:spacing w:after="90" w:line="280"/>
      </w:pPr>
      <w:r>
        <w:rPr>
          <w:b/>
          <w:bCs/>
          <w:sz w:val="21"/>
          <w:szCs w:val="21"/>
        </w:rPr>
        <w:t xml:space="preserve">[ASSUMPTION] </w:t>
      </w:r>
      <w:r>
        <w:rPr>
          <w:sz w:val="21"/>
          <w:szCs w:val="21"/>
        </w:rPr>
        <w:t xml:space="preserve">Abuja and Lagos launch together, with Abuja carrying the early verification pipeline because that is where the partnership network sits.</w:t>
      </w:r>
    </w:p>
    <w:p>
      <w:pPr>
        <w:pStyle w:val="ListParagraph"/>
        <w:numPr>
          <w:ilvl w:val="0"/>
          <w:numId w:val="2"/>
        </w:numPr>
        <w:spacing w:after="90" w:line="280"/>
      </w:pPr>
      <w:r>
        <w:rPr>
          <w:b/>
          <w:bCs/>
          <w:sz w:val="21"/>
          <w:szCs w:val="21"/>
        </w:rPr>
        <w:t xml:space="preserve">[ASSUMPTION] </w:t>
      </w:r>
      <w:r>
        <w:rPr>
          <w:sz w:val="21"/>
          <w:szCs w:val="21"/>
        </w:rPr>
        <w:t xml:space="preserve">Listings are free permanently. Revenue comes entirely from ancillary services.</w:t>
      </w:r>
    </w:p>
    <w:p>
      <w:pPr>
        <w:pStyle w:val="ListParagraph"/>
        <w:numPr>
          <w:ilvl w:val="0"/>
          <w:numId w:val="2"/>
        </w:numPr>
        <w:spacing w:after="90" w:line="280"/>
      </w:pPr>
      <w:r>
        <w:rPr>
          <w:b/>
          <w:bCs/>
          <w:sz w:val="21"/>
          <w:szCs w:val="21"/>
        </w:rPr>
        <w:t xml:space="preserve">[ASSUMPTION] </w:t>
      </w:r>
      <w:r>
        <w:rPr>
          <w:sz w:val="21"/>
          <w:szCs w:val="21"/>
        </w:rPr>
        <w:t xml:space="preserve">Verification capacity in year one is human-constrained — a small number of solicitors and surveyors, not a scaled operation.</w:t>
      </w:r>
    </w:p>
    <w:p>
      <w:pPr>
        <w:pStyle w:val="Heading1"/>
        <w:spacing w:after="160" w:before="360"/>
      </w:pPr>
      <w:r>
        <w:rPr>
          <w:b/>
          <w:bCs/>
          <w:color w:val="1F4E5F"/>
          <w:sz w:val="30"/>
          <w:szCs w:val="30"/>
        </w:rPr>
        <w:t xml:space="preserve">1.  The problem</w:t>
      </w:r>
    </w:p>
    <w:p>
      <w:pPr>
        <w:pStyle w:val="Heading2"/>
        <w:spacing w:after="120" w:before="260"/>
      </w:pPr>
      <w:r>
        <w:rPr>
          <w:b/>
          <w:bCs/>
          <w:color w:val="1F4E5F"/>
          <w:sz w:val="24"/>
          <w:szCs w:val="24"/>
        </w:rPr>
        <w:t xml:space="preserve">The fraud number</w:t>
      </w:r>
    </w:p>
    <w:p>
      <w:pPr>
        <w:spacing w:after="140" w:line="280"/>
      </w:pPr>
      <w:r>
        <w:rPr>
          <w:sz w:val="21"/>
          <w:szCs w:val="21"/>
        </w:rPr>
        <w:t xml:space="preserve">Nigerian property fraud is estimated at roughly </w:t>
      </w:r>
      <w:r>
        <w:rPr>
          <w:b/>
          <w:bCs/>
          <w:sz w:val="21"/>
          <w:szCs w:val="21"/>
        </w:rPr>
        <w:t xml:space="preserve">$4bn annually</w:t>
      </w:r>
      <w:r>
        <w:rPr>
          <w:sz w:val="21"/>
          <w:szCs w:val="21"/>
        </w:rPr>
        <w:t xml:space="preserve">, with the majority tied to defective, forged, or duplicated title. Roughly </w:t>
      </w:r>
      <w:r>
        <w:rPr>
          <w:b/>
          <w:bCs/>
          <w:sz w:val="21"/>
          <w:szCs w:val="21"/>
        </w:rPr>
        <w:t xml:space="preserve">3% of Nigerians hold a valid registered land title</w:t>
      </w:r>
      <w:r>
        <w:rPr>
          <w:sz w:val="21"/>
          <w:szCs w:val="21"/>
        </w:rPr>
        <w:t xml:space="preserve">, and formal registration is slow, expensive, and concentrated in urban centres. The World Bank has consistently ranked Nigeria near the bottom globally on registering property.</w:t>
      </w:r>
    </w:p>
    <w:p>
      <w:pPr>
        <w:spacing w:after="140" w:line="280"/>
      </w:pPr>
      <w:r>
        <w:rPr>
          <w:b/>
          <w:bCs/>
          <w:sz w:val="21"/>
          <w:szCs w:val="21"/>
        </w:rPr>
        <w:t xml:space="preserve">[ESTIMATE — verify before external use] </w:t>
      </w:r>
      <w:r>
        <w:rPr>
          <w:sz w:val="21"/>
          <w:szCs w:val="21"/>
        </w:rPr>
        <w:t xml:space="preserve">These figures circulate widely in Nigerian real estate press and industry commentary. Before this doc goes to a partner firm or an investor, each should be traced to a primary source (World Bank Doing Business archives, NBS, Lagos State Lands Bureau, or a named industry report) and footnoted. An unsourced $4bn in a pitch deck is a liability; a sourced $4bn is a weapon.</w:t>
      </w:r>
    </w:p>
    <w:p>
      <w:pPr>
        <w:pStyle w:val="Heading2"/>
        <w:spacing w:after="120" w:before="260"/>
      </w:pPr>
      <w:r>
        <w:rPr>
          <w:b/>
          <w:bCs/>
          <w:color w:val="1F4E5F"/>
          <w:sz w:val="24"/>
          <w:szCs w:val="24"/>
        </w:rPr>
        <w:t xml:space="preserve">What actually goes wrong</w:t>
      </w:r>
    </w:p>
    <w:p>
      <w:pPr>
        <w:spacing w:after="140" w:line="280"/>
      </w:pPr>
      <w:r>
        <w:rPr>
          <w:sz w:val="21"/>
          <w:szCs w:val="21"/>
        </w:rPr>
        <w:t xml:space="preserve">The fraud is not exotic. It is a small set of repeated patterns: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736"/>
        <w:gridCol w:w="6624"/>
      </w:tblGrid>
      <w:tr>
        <w:trPr>
          <w:tblHeader/>
        </w:trPr>
        <w:tc>
          <w:tcPr>
            <w:tcW w:type="dxa" w:w="2736"/>
            <w:shd w:fill="E8EEF1" w:color="auto" w:val="clear"/>
            <w:tcMar>
              <w:top w:type="dxa" w:w="80"/>
              <w:left w:type="dxa" w:w="110"/>
              <w:bottom w:type="dxa" w:w="80"/>
              <w:right w:type="dxa" w:w="110"/>
            </w:tcMar>
          </w:tcPr>
          <w:p>
            <w:pPr>
              <w:spacing w:after="0" w:line="260"/>
            </w:pPr>
            <w:r>
              <w:rPr>
                <w:b/>
                <w:bCs/>
                <w:sz w:val="19"/>
                <w:szCs w:val="19"/>
              </w:rPr>
              <w:t xml:space="preserve">Pattern</w:t>
            </w:r>
          </w:p>
        </w:tc>
        <w:tc>
          <w:tcPr>
            <w:tcW w:type="dxa" w:w="6624"/>
            <w:shd w:fill="E8EEF1" w:color="auto" w:val="clear"/>
            <w:tcMar>
              <w:top w:type="dxa" w:w="80"/>
              <w:left w:type="dxa" w:w="110"/>
              <w:bottom w:type="dxa" w:w="80"/>
              <w:right w:type="dxa" w:w="110"/>
            </w:tcMar>
          </w:tcPr>
          <w:p>
            <w:pPr>
              <w:spacing w:after="0" w:line="260"/>
            </w:pPr>
            <w:r>
              <w:rPr>
                <w:b/>
                <w:bCs/>
                <w:sz w:val="19"/>
                <w:szCs w:val="19"/>
              </w:rPr>
              <w:t xml:space="preserve">What happens</w:t>
            </w:r>
          </w:p>
        </w:tc>
      </w:tr>
      <w:tr>
        <w:tc>
          <w:tcPr>
            <w:tcW w:type="dxa" w:w="2736"/>
            <w:tcMar>
              <w:top w:type="dxa" w:w="80"/>
              <w:left w:type="dxa" w:w="110"/>
              <w:bottom w:type="dxa" w:w="80"/>
              <w:right w:type="dxa" w:w="110"/>
            </w:tcMar>
          </w:tcPr>
          <w:p>
            <w:pPr>
              <w:spacing w:after="0" w:line="260"/>
            </w:pPr>
            <w:r>
              <w:rPr>
                <w:b w:val="false"/>
                <w:bCs w:val="false"/>
                <w:sz w:val="19"/>
                <w:szCs w:val="19"/>
              </w:rPr>
              <w:t xml:space="preserve">Multiple sale</w:t>
            </w:r>
          </w:p>
        </w:tc>
        <w:tc>
          <w:tcPr>
            <w:tcW w:type="dxa" w:w="6624"/>
            <w:tcMar>
              <w:top w:type="dxa" w:w="80"/>
              <w:left w:type="dxa" w:w="110"/>
              <w:bottom w:type="dxa" w:w="80"/>
              <w:right w:type="dxa" w:w="110"/>
            </w:tcMar>
          </w:tcPr>
          <w:p>
            <w:pPr>
              <w:spacing w:after="0" w:line="260"/>
            </w:pPr>
            <w:r>
              <w:rPr>
                <w:b w:val="false"/>
                <w:bCs w:val="false"/>
                <w:sz w:val="19"/>
                <w:szCs w:val="19"/>
              </w:rPr>
              <w:t xml:space="preserve">One parcel sold to several buyers, each with plausible-looking documents</w:t>
            </w:r>
          </w:p>
        </w:tc>
      </w:tr>
      <w:tr>
        <w:tc>
          <w:tcPr>
            <w:tcW w:type="dxa" w:w="2736"/>
            <w:tcMar>
              <w:top w:type="dxa" w:w="80"/>
              <w:left w:type="dxa" w:w="110"/>
              <w:bottom w:type="dxa" w:w="80"/>
              <w:right w:type="dxa" w:w="110"/>
            </w:tcMar>
          </w:tcPr>
          <w:p>
            <w:pPr>
              <w:spacing w:after="0" w:line="260"/>
            </w:pPr>
            <w:r>
              <w:rPr>
                <w:b w:val="false"/>
                <w:bCs w:val="false"/>
                <w:sz w:val="19"/>
                <w:szCs w:val="19"/>
              </w:rPr>
              <w:t xml:space="preserve">Forged or upgraded title</w:t>
            </w:r>
          </w:p>
        </w:tc>
        <w:tc>
          <w:tcPr>
            <w:tcW w:type="dxa" w:w="6624"/>
            <w:tcMar>
              <w:top w:type="dxa" w:w="80"/>
              <w:left w:type="dxa" w:w="110"/>
              <w:bottom w:type="dxa" w:w="80"/>
              <w:right w:type="dxa" w:w="110"/>
            </w:tcMar>
          </w:tcPr>
          <w:p>
            <w:pPr>
              <w:spacing w:after="0" w:line="260"/>
            </w:pPr>
            <w:r>
              <w:rPr>
                <w:b w:val="false"/>
                <w:bCs w:val="false"/>
                <w:sz w:val="19"/>
                <w:szCs w:val="19"/>
              </w:rPr>
              <w:t xml:space="preserve">A Letter of Allocation presented as if it carried the weight of a C of O</w:t>
            </w:r>
          </w:p>
        </w:tc>
      </w:tr>
      <w:tr>
        <w:tc>
          <w:tcPr>
            <w:tcW w:type="dxa" w:w="2736"/>
            <w:tcMar>
              <w:top w:type="dxa" w:w="80"/>
              <w:left w:type="dxa" w:w="110"/>
              <w:bottom w:type="dxa" w:w="80"/>
              <w:right w:type="dxa" w:w="110"/>
            </w:tcMar>
          </w:tcPr>
          <w:p>
            <w:pPr>
              <w:spacing w:after="0" w:line="260"/>
            </w:pPr>
            <w:r>
              <w:rPr>
                <w:b w:val="false"/>
                <w:bCs w:val="false"/>
                <w:sz w:val="19"/>
                <w:szCs w:val="19"/>
              </w:rPr>
              <w:t xml:space="preserve">Government acquisition land</w:t>
            </w:r>
          </w:p>
        </w:tc>
        <w:tc>
          <w:tcPr>
            <w:tcW w:type="dxa" w:w="6624"/>
            <w:tcMar>
              <w:top w:type="dxa" w:w="80"/>
              <w:left w:type="dxa" w:w="110"/>
              <w:bottom w:type="dxa" w:w="80"/>
              <w:right w:type="dxa" w:w="110"/>
            </w:tcMar>
          </w:tcPr>
          <w:p>
            <w:pPr>
              <w:spacing w:after="0" w:line="260"/>
            </w:pPr>
            <w:r>
              <w:rPr>
                <w:b w:val="false"/>
                <w:bCs w:val="false"/>
                <w:sz w:val="19"/>
                <w:szCs w:val="19"/>
              </w:rPr>
              <w:t xml:space="preserve">Land sold inside a committed acquisition zone; buyer discovers only at development</w:t>
            </w:r>
          </w:p>
        </w:tc>
      </w:tr>
      <w:tr>
        <w:tc>
          <w:tcPr>
            <w:tcW w:type="dxa" w:w="2736"/>
            <w:tcMar>
              <w:top w:type="dxa" w:w="80"/>
              <w:left w:type="dxa" w:w="110"/>
              <w:bottom w:type="dxa" w:w="80"/>
              <w:right w:type="dxa" w:w="110"/>
            </w:tcMar>
          </w:tcPr>
          <w:p>
            <w:pPr>
              <w:spacing w:after="0" w:line="260"/>
            </w:pPr>
            <w:r>
              <w:rPr>
                <w:b w:val="false"/>
                <w:bCs w:val="false"/>
                <w:sz w:val="19"/>
                <w:szCs w:val="19"/>
              </w:rPr>
              <w:t xml:space="preserve">Omo-onile extortion</w:t>
            </w:r>
          </w:p>
        </w:tc>
        <w:tc>
          <w:tcPr>
            <w:tcW w:type="dxa" w:w="6624"/>
            <w:tcMar>
              <w:top w:type="dxa" w:w="80"/>
              <w:left w:type="dxa" w:w="110"/>
              <w:bottom w:type="dxa" w:w="80"/>
              <w:right w:type="dxa" w:w="110"/>
            </w:tcMar>
          </w:tcPr>
          <w:p>
            <w:pPr>
              <w:spacing w:after="0" w:line="260"/>
            </w:pPr>
            <w:r>
              <w:rPr>
                <w:b w:val="false"/>
                <w:bCs w:val="false"/>
                <w:sz w:val="19"/>
                <w:szCs w:val="19"/>
              </w:rPr>
              <w:t xml:space="preserve">Family and community claimants demand repeat payments after purchase, particularly in Lagos</w:t>
            </w:r>
          </w:p>
        </w:tc>
      </w:tr>
      <w:tr>
        <w:tc>
          <w:tcPr>
            <w:tcW w:type="dxa" w:w="2736"/>
            <w:tcMar>
              <w:top w:type="dxa" w:w="80"/>
              <w:left w:type="dxa" w:w="110"/>
              <w:bottom w:type="dxa" w:w="80"/>
              <w:right w:type="dxa" w:w="110"/>
            </w:tcMar>
          </w:tcPr>
          <w:p>
            <w:pPr>
              <w:spacing w:after="0" w:line="260"/>
            </w:pPr>
            <w:r>
              <w:rPr>
                <w:b w:val="false"/>
                <w:bCs w:val="false"/>
                <w:sz w:val="19"/>
                <w:szCs w:val="19"/>
              </w:rPr>
              <w:t xml:space="preserve">Ghost listing</w:t>
            </w:r>
          </w:p>
        </w:tc>
        <w:tc>
          <w:tcPr>
            <w:tcW w:type="dxa" w:w="6624"/>
            <w:tcMar>
              <w:top w:type="dxa" w:w="80"/>
              <w:left w:type="dxa" w:w="110"/>
              <w:bottom w:type="dxa" w:w="80"/>
              <w:right w:type="dxa" w:w="110"/>
            </w:tcMar>
          </w:tcPr>
          <w:p>
            <w:pPr>
              <w:spacing w:after="0" w:line="260"/>
            </w:pPr>
            <w:r>
              <w:rPr>
                <w:b w:val="false"/>
                <w:bCs w:val="false"/>
                <w:sz w:val="19"/>
                <w:szCs w:val="19"/>
              </w:rPr>
              <w:t xml:space="preserve">Property does not exist, is not available, or is not the seller's — photos lifted from other listings</w:t>
            </w:r>
          </w:p>
        </w:tc>
      </w:tr>
      <w:tr>
        <w:tc>
          <w:tcPr>
            <w:tcW w:type="dxa" w:w="2736"/>
            <w:tcMar>
              <w:top w:type="dxa" w:w="80"/>
              <w:left w:type="dxa" w:w="110"/>
              <w:bottom w:type="dxa" w:w="80"/>
              <w:right w:type="dxa" w:w="110"/>
            </w:tcMar>
          </w:tcPr>
          <w:p>
            <w:pPr>
              <w:spacing w:after="0" w:line="260"/>
            </w:pPr>
            <w:r>
              <w:rPr>
                <w:b w:val="false"/>
                <w:bCs w:val="false"/>
                <w:sz w:val="19"/>
                <w:szCs w:val="19"/>
              </w:rPr>
              <w:t xml:space="preserve">Agent chain inflation</w:t>
            </w:r>
          </w:p>
        </w:tc>
        <w:tc>
          <w:tcPr>
            <w:tcW w:type="dxa" w:w="6624"/>
            <w:tcMar>
              <w:top w:type="dxa" w:w="80"/>
              <w:left w:type="dxa" w:w="110"/>
              <w:bottom w:type="dxa" w:w="80"/>
              <w:right w:type="dxa" w:w="110"/>
            </w:tcMar>
          </w:tcPr>
          <w:p>
            <w:pPr>
              <w:spacing w:after="0" w:line="260"/>
            </w:pPr>
            <w:r>
              <w:rPr>
                <w:b w:val="false"/>
                <w:bCs w:val="false"/>
                <w:sz w:val="19"/>
                <w:szCs w:val="19"/>
              </w:rPr>
              <w:t xml:space="preserve">Three or four intermediaries each adding a fee, none disclosed</w:t>
            </w:r>
          </w:p>
        </w:tc>
      </w:tr>
      <w:tr>
        <w:tc>
          <w:tcPr>
            <w:tcW w:type="dxa" w:w="2736"/>
            <w:tcMar>
              <w:top w:type="dxa" w:w="80"/>
              <w:left w:type="dxa" w:w="110"/>
              <w:bottom w:type="dxa" w:w="80"/>
              <w:right w:type="dxa" w:w="110"/>
            </w:tcMar>
          </w:tcPr>
          <w:p>
            <w:pPr>
              <w:spacing w:after="0" w:line="260"/>
            </w:pPr>
            <w:r>
              <w:rPr>
                <w:b w:val="false"/>
                <w:bCs w:val="false"/>
                <w:sz w:val="19"/>
                <w:szCs w:val="19"/>
              </w:rPr>
              <w:t xml:space="preserve">Rent fraud</w:t>
            </w:r>
          </w:p>
        </w:tc>
        <w:tc>
          <w:tcPr>
            <w:tcW w:type="dxa" w:w="6624"/>
            <w:tcMar>
              <w:top w:type="dxa" w:w="80"/>
              <w:left w:type="dxa" w:w="110"/>
              <w:bottom w:type="dxa" w:w="80"/>
              <w:right w:type="dxa" w:w="110"/>
            </w:tcMar>
          </w:tcPr>
          <w:p>
            <w:pPr>
              <w:spacing w:after="0" w:line="260"/>
            </w:pPr>
            <w:r>
              <w:rPr>
                <w:b w:val="false"/>
                <w:bCs w:val="false"/>
                <w:sz w:val="19"/>
                <w:szCs w:val="19"/>
              </w:rPr>
              <w:t xml:space="preserve">Advance paid for a property the "agent" does not control</w:t>
            </w:r>
          </w:p>
        </w:tc>
      </w:tr>
    </w:tbl>
    <w:p>
      <w:pPr>
        <w:spacing w:after="160"/>
      </w:pPr>
      <w:r>
        <w:rPr>
          <w:sz w:val="2"/>
          <w:szCs w:val="2"/>
        </w:rPr>
        <w:t xml:space="preserve"/>
      </w:r>
    </w:p>
    <w:p>
      <w:pPr>
        <w:spacing w:after="140" w:line="280"/>
      </w:pPr>
      <w:r>
        <w:rPr>
          <w:sz w:val="21"/>
          <w:szCs w:val="21"/>
        </w:rPr>
        <w:t xml:space="preserve">Every one of these is a </w:t>
      </w:r>
      <w:r>
        <w:rPr>
          <w:b/>
          <w:bCs/>
          <w:sz w:val="21"/>
          <w:szCs w:val="21"/>
        </w:rPr>
        <w:t xml:space="preserve">verification failure at the point of transaction</w:t>
      </w:r>
      <w:r>
        <w:rPr>
          <w:sz w:val="21"/>
          <w:szCs w:val="21"/>
        </w:rPr>
        <w:t xml:space="preserve">, not a discovery failure. That distinction is the whole strategy.</w:t>
      </w:r>
    </w:p>
    <w:p>
      <w:pPr>
        <w:pStyle w:val="Heading2"/>
        <w:spacing w:after="120" w:before="260"/>
      </w:pPr>
      <w:r>
        <w:rPr>
          <w:b/>
          <w:bCs/>
          <w:color w:val="1F4E5F"/>
          <w:sz w:val="24"/>
          <w:szCs w:val="24"/>
        </w:rPr>
        <w:t xml:space="preserve">Why the existing platforms do not solve it</w:t>
      </w:r>
    </w:p>
    <w:p>
      <w:pPr>
        <w:spacing w:after="140" w:line="280"/>
      </w:pPr>
      <w:r>
        <w:rPr>
          <w:sz w:val="21"/>
          <w:szCs w:val="21"/>
        </w:rPr>
        <w:t xml:space="preserve">Nigeria's incumbent portals — PropertyPro, Nigeria Property Centre, PrivateProperty, Jiji's property vertical, plus the informal but dominant layer of Facebook groups and WhatsApp broadcast lists — are </w:t>
      </w:r>
      <w:r>
        <w:rPr>
          <w:b/>
          <w:bCs/>
          <w:sz w:val="21"/>
          <w:szCs w:val="21"/>
        </w:rPr>
        <w:t xml:space="preserve">classified-ad businesses</w:t>
      </w:r>
      <w:r>
        <w:rPr>
          <w:sz w:val="21"/>
          <w:szCs w:val="21"/>
        </w:rPr>
        <w:t xml:space="preserve">. They monetise agent subscriptions and listing prominence. Their revenue improves as listing volume rises, which means the business model is structurally hostile to verification: every listing you reject is revenue you declined.</w:t>
      </w:r>
    </w:p>
    <w:p>
      <w:pPr>
        <w:spacing w:after="140" w:line="280"/>
      </w:pPr>
      <w:r>
        <w:rPr>
          <w:sz w:val="21"/>
          <w:szCs w:val="21"/>
        </w:rPr>
        <w:t xml:space="preserve">Nobody has built a Nigerian portal where verification is the product rather than an overhead.</w:t>
      </w:r>
    </w:p>
    <w:p>
      <w:pPr>
        <w:pStyle w:val="Heading1"/>
        <w:spacing w:after="160" w:before="360"/>
      </w:pPr>
      <w:r>
        <w:rPr>
          <w:b/>
          <w:bCs/>
          <w:color w:val="1F4E5F"/>
          <w:sz w:val="30"/>
          <w:szCs w:val="30"/>
        </w:rPr>
        <w:t xml:space="preserve">2.  The wedge</w:t>
      </w:r>
    </w:p>
    <w:p>
      <w:pPr>
        <w:pBdr>
          <w:left w:val="single" w:color="1F4E5F" w:sz="18" w:space="12"/>
        </w:pBdr>
        <w:spacing w:after="200" w:before="160" w:line="300"/>
        <w:ind w:left="504"/>
      </w:pPr>
      <w:r>
        <w:rPr>
          <w:i/>
          <w:iCs/>
          <w:color w:val="2A2A2A"/>
          <w:sz w:val="23"/>
          <w:szCs w:val="23"/>
        </w:rPr>
        <w:t xml:space="preserve">Do not police the conversation. Own the settlement.</w:t>
      </w:r>
    </w:p>
    <w:p>
      <w:pPr>
        <w:spacing w:after="140" w:line="280"/>
      </w:pPr>
      <w:r>
        <w:rPr>
          <w:sz w:val="21"/>
          <w:szCs w:val="21"/>
        </w:rPr>
        <w:t xml:space="preserve">Unö does not try to prevent agents and buyers from talking outside the platform — that fight is unwinnable in a WhatsApp-first market. Instead, Unö makes </w:t>
      </w:r>
      <w:r>
        <w:rPr>
          <w:i/>
          <w:iCs/>
          <w:sz w:val="21"/>
          <w:szCs w:val="21"/>
        </w:rPr>
        <w:t xml:space="preserve">leaving</w:t>
      </w:r>
      <w:r>
        <w:rPr>
          <w:sz w:val="21"/>
          <w:szCs w:val="21"/>
        </w:rPr>
        <w:t xml:space="preserve"> the platform mean losing three things simultaneously: verified title status, escrowed money, and contract protection.</w:t>
      </w:r>
    </w:p>
    <w:p>
      <w:pPr>
        <w:spacing w:after="140" w:line="280"/>
      </w:pPr>
      <w:r>
        <w:rPr>
          <w:sz w:val="21"/>
          <w:szCs w:val="21"/>
        </w:rPr>
        <w:t xml:space="preserve">Phase 1 delivers only the first of those. That is sufficient to prove the model and win partners, and it is deliberately below the security line.</w:t>
      </w:r>
    </w:p>
    <w:p>
      <w:pPr>
        <w:spacing w:after="140" w:line="280"/>
      </w:pPr>
      <w:r>
        <w:rPr>
          <w:b/>
          <w:bCs/>
          <w:sz w:val="21"/>
          <w:szCs w:val="21"/>
        </w:rPr>
        <w:t xml:space="preserve">Positioning in one line, for a partner meeting:</w:t>
      </w:r>
    </w:p>
    <w:p>
      <w:pPr>
        <w:pBdr>
          <w:left w:val="single" w:color="1F4E5F" w:sz="18" w:space="12"/>
        </w:pBdr>
        <w:spacing w:after="200" w:before="160" w:line="300"/>
        <w:ind w:left="504"/>
      </w:pPr>
      <w:r>
        <w:rPr>
          <w:i/>
          <w:iCs/>
          <w:color w:val="2A2A2A"/>
          <w:sz w:val="23"/>
          <w:szCs w:val="23"/>
        </w:rPr>
        <w:t xml:space="preserve">Every other Nigerian property platform sells attention. Unö sells certainty.</w:t>
      </w:r>
    </w:p>
    <w:p>
      <w:pPr>
        <w:pStyle w:val="Heading1"/>
        <w:spacing w:after="160" w:before="360"/>
      </w:pPr>
      <w:r>
        <w:rPr>
          <w:b/>
          <w:bCs/>
          <w:color w:val="1F4E5F"/>
          <w:sz w:val="30"/>
          <w:szCs w:val="30"/>
        </w:rPr>
        <w:t xml:space="preserve">3.  Target users</w:t>
      </w:r>
    </w:p>
    <w:p>
      <w:pPr>
        <w:pStyle w:val="Heading3"/>
        <w:spacing w:after="100" w:before="200"/>
      </w:pPr>
      <w:r>
        <w:rPr>
          <w:b/>
          <w:bCs/>
          <w:color w:val="333333"/>
          <w:sz w:val="21"/>
          <w:szCs w:val="21"/>
        </w:rPr>
        <w:t xml:space="preserve">Primary — Diaspora buyer</w:t>
      </w:r>
    </w:p>
    <w:p>
      <w:pPr>
        <w:spacing w:after="140" w:line="280"/>
      </w:pPr>
      <w:r>
        <w:rPr>
          <w:sz w:val="21"/>
          <w:szCs w:val="21"/>
        </w:rPr>
        <w:t xml:space="preserve">Nigerians in the UK, US, and Canada buying land or property at home. Highest fraud exposure (cannot inspect, rely on relatives and agents), highest willingness to pay for verification, and highest transaction value. They already pay for informal versions of this — flying home, sending cousins to look, hiring lawyers ad hoc.</w:t>
      </w:r>
    </w:p>
    <w:p>
      <w:pPr>
        <w:spacing w:after="140" w:line="280"/>
      </w:pPr>
      <w:r>
        <w:rPr>
          <w:b/>
          <w:bCs/>
          <w:sz w:val="21"/>
          <w:szCs w:val="21"/>
        </w:rPr>
        <w:t xml:space="preserve">What they need: </w:t>
      </w:r>
      <w:r>
        <w:rPr>
          <w:sz w:val="21"/>
          <w:szCs w:val="21"/>
        </w:rPr>
        <w:t xml:space="preserve">proof the property exists, proof the title is real, proof the agent is real, and a way to watch the deal progress from 5,000 miles away.</w:t>
      </w:r>
    </w:p>
    <w:p>
      <w:pPr>
        <w:spacing w:after="140" w:line="280"/>
      </w:pPr>
      <w:r>
        <w:rPr>
          <w:b/>
          <w:bCs/>
          <w:sz w:val="21"/>
          <w:szCs w:val="21"/>
        </w:rPr>
        <w:t xml:space="preserve">[ASSUMPTION] </w:t>
      </w:r>
      <w:r>
        <w:rPr>
          <w:sz w:val="21"/>
          <w:szCs w:val="21"/>
        </w:rPr>
        <w:t xml:space="preserve">Diaspora is the most valuable early segment. Worth validating with 15–20 conversations before Phase 3 spend.</w:t>
      </w:r>
    </w:p>
    <w:p>
      <w:pPr>
        <w:pStyle w:val="Heading3"/>
        <w:spacing w:after="100" w:before="200"/>
      </w:pPr>
      <w:r>
        <w:rPr>
          <w:b/>
          <w:bCs/>
          <w:color w:val="333333"/>
          <w:sz w:val="21"/>
          <w:szCs w:val="21"/>
        </w:rPr>
        <w:t xml:space="preserve">Primary — Domestic upper-middle buyer (Abuja / Lagos)</w:t>
      </w:r>
    </w:p>
    <w:p>
      <w:pPr>
        <w:spacing w:after="140" w:line="280"/>
      </w:pPr>
      <w:r>
        <w:rPr>
          <w:sz w:val="21"/>
          <w:szCs w:val="21"/>
        </w:rPr>
        <w:t xml:space="preserve">Professionals buying their first serious asset, typically land or an off-plan unit, often on an installment plan. They know someone who has been defrauded. They are price-sensitive on the platform but not on protection.</w:t>
      </w:r>
    </w:p>
    <w:p>
      <w:pPr>
        <w:pStyle w:val="Heading3"/>
        <w:spacing w:after="100" w:before="200"/>
      </w:pPr>
      <w:r>
        <w:rPr>
          <w:b/>
          <w:bCs/>
          <w:color w:val="333333"/>
          <w:sz w:val="21"/>
          <w:szCs w:val="21"/>
        </w:rPr>
        <w:t xml:space="preserve">Primary — Renter (Abuja / Lagos)</w:t>
      </w:r>
    </w:p>
    <w:p>
      <w:pPr>
        <w:spacing w:after="140" w:line="280"/>
      </w:pPr>
      <w:r>
        <w:rPr>
          <w:sz w:val="21"/>
          <w:szCs w:val="21"/>
        </w:rPr>
        <w:t xml:space="preserve">Highest volume, lowest value, but the fee-transparency problem hits them hardest: annual rent quoted, one to two years demanded upfront, plus agency fee, caution fee, legal/agreement fee, and service charge — frequently disclosed only after they have committed emotionally. The Total Cost of Acquisition ledger is a renter product as much as a buyer one, and renters are the acquisition funnel for future buyers.</w:t>
      </w:r>
    </w:p>
    <w:p>
      <w:pPr>
        <w:pStyle w:val="Heading3"/>
        <w:spacing w:after="100" w:before="200"/>
      </w:pPr>
      <w:r>
        <w:rPr>
          <w:b/>
          <w:bCs/>
          <w:color w:val="333333"/>
          <w:sz w:val="21"/>
          <w:szCs w:val="21"/>
        </w:rPr>
        <w:t xml:space="preserve">Supply side — Verified agents and firms</w:t>
      </w:r>
    </w:p>
    <w:p>
      <w:pPr>
        <w:spacing w:after="140" w:line="280"/>
      </w:pPr>
      <w:r>
        <w:rPr>
          <w:sz w:val="21"/>
          <w:szCs w:val="21"/>
        </w:rPr>
        <w:t xml:space="preserve">The honest agent is currently indistinguishable from the fraudulent one. That is the pitch: Unö is the only place where being legitimate is a competitive advantage rather than a cost disadvantage. Target the firm before the individual — Nigerians trust </w:t>
      </w:r>
      <w:r>
        <w:rPr>
          <w:i/>
          <w:iCs/>
          <w:sz w:val="21"/>
          <w:szCs w:val="21"/>
        </w:rPr>
        <w:t xml:space="preserve">J.U. Uzor &amp; Associates</w:t>
      </w:r>
      <w:r>
        <w:rPr>
          <w:sz w:val="21"/>
          <w:szCs w:val="21"/>
        </w:rPr>
        <w:t xml:space="preserve"> before they trust "Emeka, estate agent."</w:t>
      </w:r>
    </w:p>
    <w:p>
      <w:pPr>
        <w:pStyle w:val="Heading3"/>
        <w:spacing w:after="100" w:before="200"/>
      </w:pPr>
      <w:r>
        <w:rPr>
          <w:b/>
          <w:bCs/>
          <w:color w:val="333333"/>
          <w:sz w:val="21"/>
          <w:szCs w:val="21"/>
        </w:rPr>
        <w:t xml:space="preserve">Supply side — Developers</w:t>
      </w:r>
    </w:p>
    <w:p>
      <w:pPr>
        <w:spacing w:after="140" w:line="280"/>
      </w:pPr>
      <w:r>
        <w:rPr>
          <w:sz w:val="21"/>
          <w:szCs w:val="21"/>
        </w:rPr>
        <w:t xml:space="preserve">Off-plan and installment sales are dominant. Developers want qualified, verified buyers and a credible sales channel. They are also the most likely early paying customer for premium placement and verified inspection reports.</w:t>
      </w:r>
    </w:p>
    <w:p>
      <w:pPr>
        <w:pStyle w:val="Heading1"/>
        <w:spacing w:after="160" w:before="360"/>
      </w:pPr>
      <w:r>
        <w:rPr>
          <w:b/>
          <w:bCs/>
          <w:color w:val="1F4E5F"/>
          <w:sz w:val="30"/>
          <w:szCs w:val="30"/>
        </w:rPr>
        <w:t xml:space="preserve">4.  Competitive landscape</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160"/>
        <w:gridCol w:w="2160"/>
        <w:gridCol w:w="2664"/>
        <w:gridCol w:w="2376"/>
      </w:tblGrid>
      <w:tr>
        <w:trPr>
          <w:tblHeader/>
        </w:trPr>
        <w:tc>
          <w:tcPr>
            <w:tcW w:type="dxa" w:w="2160"/>
            <w:shd w:fill="E8EEF1" w:color="auto" w:val="clear"/>
            <w:tcMar>
              <w:top w:type="dxa" w:w="80"/>
              <w:left w:type="dxa" w:w="110"/>
              <w:bottom w:type="dxa" w:w="80"/>
              <w:right w:type="dxa" w:w="110"/>
            </w:tcMar>
          </w:tcPr>
          <w:p>
            <w:pPr>
              <w:spacing w:after="0" w:line="260"/>
            </w:pPr>
            <w:r>
              <w:rPr>
                <w:b/>
                <w:bCs/>
                <w:sz w:val="19"/>
                <w:szCs w:val="19"/>
              </w:rPr>
              <w:t xml:space="preserve">Player</w:t>
            </w:r>
          </w:p>
        </w:tc>
        <w:tc>
          <w:tcPr>
            <w:tcW w:type="dxa" w:w="2160"/>
            <w:shd w:fill="E8EEF1" w:color="auto" w:val="clear"/>
            <w:tcMar>
              <w:top w:type="dxa" w:w="80"/>
              <w:left w:type="dxa" w:w="110"/>
              <w:bottom w:type="dxa" w:w="80"/>
              <w:right w:type="dxa" w:w="110"/>
            </w:tcMar>
          </w:tcPr>
          <w:p>
            <w:pPr>
              <w:spacing w:after="0" w:line="260"/>
            </w:pPr>
            <w:r>
              <w:rPr>
                <w:b/>
                <w:bCs/>
                <w:sz w:val="19"/>
                <w:szCs w:val="19"/>
              </w:rPr>
              <w:t xml:space="preserve">Model</w:t>
            </w:r>
          </w:p>
        </w:tc>
        <w:tc>
          <w:tcPr>
            <w:tcW w:type="dxa" w:w="2664"/>
            <w:shd w:fill="E8EEF1" w:color="auto" w:val="clear"/>
            <w:tcMar>
              <w:top w:type="dxa" w:w="80"/>
              <w:left w:type="dxa" w:w="110"/>
              <w:bottom w:type="dxa" w:w="80"/>
              <w:right w:type="dxa" w:w="110"/>
            </w:tcMar>
          </w:tcPr>
          <w:p>
            <w:pPr>
              <w:spacing w:after="0" w:line="260"/>
            </w:pPr>
            <w:r>
              <w:rPr>
                <w:b/>
                <w:bCs/>
                <w:sz w:val="19"/>
                <w:szCs w:val="19"/>
              </w:rPr>
              <w:t xml:space="preserve">Where they are strong</w:t>
            </w:r>
          </w:p>
        </w:tc>
        <w:tc>
          <w:tcPr>
            <w:tcW w:type="dxa" w:w="2376"/>
            <w:shd w:fill="E8EEF1" w:color="auto" w:val="clear"/>
            <w:tcMar>
              <w:top w:type="dxa" w:w="80"/>
              <w:left w:type="dxa" w:w="110"/>
              <w:bottom w:type="dxa" w:w="80"/>
              <w:right w:type="dxa" w:w="110"/>
            </w:tcMar>
          </w:tcPr>
          <w:p>
            <w:pPr>
              <w:spacing w:after="0" w:line="260"/>
            </w:pPr>
            <w:r>
              <w:rPr>
                <w:b/>
                <w:bCs/>
                <w:sz w:val="19"/>
                <w:szCs w:val="19"/>
              </w:rPr>
              <w:t xml:space="preserve">Where Unö wins</w:t>
            </w:r>
          </w:p>
        </w:tc>
      </w:tr>
      <w:tr>
        <w:tc>
          <w:tcPr>
            <w:tcW w:type="dxa" w:w="2160"/>
            <w:tcMar>
              <w:top w:type="dxa" w:w="80"/>
              <w:left w:type="dxa" w:w="110"/>
              <w:bottom w:type="dxa" w:w="80"/>
              <w:right w:type="dxa" w:w="110"/>
            </w:tcMar>
          </w:tcPr>
          <w:p>
            <w:pPr>
              <w:spacing w:after="0" w:line="260"/>
            </w:pPr>
            <w:r>
              <w:rPr>
                <w:b/>
                <w:bCs/>
                <w:sz w:val="19"/>
                <w:szCs w:val="19"/>
              </w:rPr>
              <w:t xml:space="preserve">PropertyPro / NPC / PrivateProperty</w:t>
            </w:r>
          </w:p>
        </w:tc>
        <w:tc>
          <w:tcPr>
            <w:tcW w:type="dxa" w:w="2160"/>
            <w:tcMar>
              <w:top w:type="dxa" w:w="80"/>
              <w:left w:type="dxa" w:w="110"/>
              <w:bottom w:type="dxa" w:w="80"/>
              <w:right w:type="dxa" w:w="110"/>
            </w:tcMar>
          </w:tcPr>
          <w:p>
            <w:pPr>
              <w:spacing w:after="0" w:line="260"/>
            </w:pPr>
            <w:r>
              <w:rPr>
                <w:b w:val="false"/>
                <w:bCs w:val="false"/>
                <w:sz w:val="19"/>
                <w:szCs w:val="19"/>
              </w:rPr>
              <w:t xml:space="preserve">Agent-subscription classifieds</w:t>
            </w:r>
          </w:p>
        </w:tc>
        <w:tc>
          <w:tcPr>
            <w:tcW w:type="dxa" w:w="2664"/>
            <w:tcMar>
              <w:top w:type="dxa" w:w="80"/>
              <w:left w:type="dxa" w:w="110"/>
              <w:bottom w:type="dxa" w:w="80"/>
              <w:right w:type="dxa" w:w="110"/>
            </w:tcMar>
          </w:tcPr>
          <w:p>
            <w:pPr>
              <w:spacing w:after="0" w:line="260"/>
            </w:pPr>
            <w:r>
              <w:rPr>
                <w:b w:val="false"/>
                <w:bCs w:val="false"/>
                <w:sz w:val="19"/>
                <w:szCs w:val="19"/>
              </w:rPr>
              <w:t xml:space="preserve">Inventory volume, SEO, brand recognition</w:t>
            </w:r>
          </w:p>
        </w:tc>
        <w:tc>
          <w:tcPr>
            <w:tcW w:type="dxa" w:w="2376"/>
            <w:tcMar>
              <w:top w:type="dxa" w:w="80"/>
              <w:left w:type="dxa" w:w="110"/>
              <w:bottom w:type="dxa" w:w="80"/>
              <w:right w:type="dxa" w:w="110"/>
            </w:tcMar>
          </w:tcPr>
          <w:p>
            <w:pPr>
              <w:spacing w:after="0" w:line="260"/>
            </w:pPr>
            <w:r>
              <w:rPr>
                <w:b w:val="false"/>
                <w:bCs w:val="false"/>
                <w:sz w:val="19"/>
                <w:szCs w:val="19"/>
              </w:rPr>
              <w:t xml:space="preserve">No verification; revenue model punishes rejecting listings</w:t>
            </w:r>
          </w:p>
        </w:tc>
      </w:tr>
      <w:tr>
        <w:tc>
          <w:tcPr>
            <w:tcW w:type="dxa" w:w="2160"/>
            <w:tcMar>
              <w:top w:type="dxa" w:w="80"/>
              <w:left w:type="dxa" w:w="110"/>
              <w:bottom w:type="dxa" w:w="80"/>
              <w:right w:type="dxa" w:w="110"/>
            </w:tcMar>
          </w:tcPr>
          <w:p>
            <w:pPr>
              <w:spacing w:after="0" w:line="260"/>
            </w:pPr>
            <w:r>
              <w:rPr>
                <w:b/>
                <w:bCs/>
                <w:sz w:val="19"/>
                <w:szCs w:val="19"/>
              </w:rPr>
              <w:t xml:space="preserve">Jiji (property)</w:t>
            </w:r>
          </w:p>
        </w:tc>
        <w:tc>
          <w:tcPr>
            <w:tcW w:type="dxa" w:w="2160"/>
            <w:tcMar>
              <w:top w:type="dxa" w:w="80"/>
              <w:left w:type="dxa" w:w="110"/>
              <w:bottom w:type="dxa" w:w="80"/>
              <w:right w:type="dxa" w:w="110"/>
            </w:tcMar>
          </w:tcPr>
          <w:p>
            <w:pPr>
              <w:spacing w:after="0" w:line="260"/>
            </w:pPr>
            <w:r>
              <w:rPr>
                <w:b w:val="false"/>
                <w:bCs w:val="false"/>
                <w:sz w:val="19"/>
                <w:szCs w:val="19"/>
              </w:rPr>
              <w:t xml:space="preserve">General marketplace</w:t>
            </w:r>
          </w:p>
        </w:tc>
        <w:tc>
          <w:tcPr>
            <w:tcW w:type="dxa" w:w="2664"/>
            <w:tcMar>
              <w:top w:type="dxa" w:w="80"/>
              <w:left w:type="dxa" w:w="110"/>
              <w:bottom w:type="dxa" w:w="80"/>
              <w:right w:type="dxa" w:w="110"/>
            </w:tcMar>
          </w:tcPr>
          <w:p>
            <w:pPr>
              <w:spacing w:after="0" w:line="260"/>
            </w:pPr>
            <w:r>
              <w:rPr>
                <w:b w:val="false"/>
                <w:bCs w:val="false"/>
                <w:sz w:val="19"/>
                <w:szCs w:val="19"/>
              </w:rPr>
              <w:t xml:space="preserve">Enormous traffic, free listings</w:t>
            </w:r>
          </w:p>
        </w:tc>
        <w:tc>
          <w:tcPr>
            <w:tcW w:type="dxa" w:w="2376"/>
            <w:tcMar>
              <w:top w:type="dxa" w:w="80"/>
              <w:left w:type="dxa" w:w="110"/>
              <w:bottom w:type="dxa" w:w="80"/>
              <w:right w:type="dxa" w:w="110"/>
            </w:tcMar>
          </w:tcPr>
          <w:p>
            <w:pPr>
              <w:spacing w:after="0" w:line="260"/>
            </w:pPr>
            <w:r>
              <w:rPr>
                <w:b w:val="false"/>
                <w:bCs w:val="false"/>
                <w:sz w:val="19"/>
                <w:szCs w:val="19"/>
              </w:rPr>
              <w:t xml:space="preserve">Zero trust infrastructure; buyer beware is explicit</w:t>
            </w:r>
          </w:p>
        </w:tc>
      </w:tr>
      <w:tr>
        <w:tc>
          <w:tcPr>
            <w:tcW w:type="dxa" w:w="2160"/>
            <w:tcMar>
              <w:top w:type="dxa" w:w="80"/>
              <w:left w:type="dxa" w:w="110"/>
              <w:bottom w:type="dxa" w:w="80"/>
              <w:right w:type="dxa" w:w="110"/>
            </w:tcMar>
          </w:tcPr>
          <w:p>
            <w:pPr>
              <w:spacing w:after="0" w:line="260"/>
            </w:pPr>
            <w:r>
              <w:rPr>
                <w:b/>
                <w:bCs/>
                <w:sz w:val="19"/>
                <w:szCs w:val="19"/>
              </w:rPr>
              <w:t xml:space="preserve">Facebook groups / WhatsApp lists</w:t>
            </w:r>
          </w:p>
        </w:tc>
        <w:tc>
          <w:tcPr>
            <w:tcW w:type="dxa" w:w="2160"/>
            <w:tcMar>
              <w:top w:type="dxa" w:w="80"/>
              <w:left w:type="dxa" w:w="110"/>
              <w:bottom w:type="dxa" w:w="80"/>
              <w:right w:type="dxa" w:w="110"/>
            </w:tcMar>
          </w:tcPr>
          <w:p>
            <w:pPr>
              <w:spacing w:after="0" w:line="260"/>
            </w:pPr>
            <w:r>
              <w:rPr>
                <w:b w:val="false"/>
                <w:bCs w:val="false"/>
                <w:sz w:val="19"/>
                <w:szCs w:val="19"/>
              </w:rPr>
              <w:t xml:space="preserve">Informal, free</w:t>
            </w:r>
          </w:p>
        </w:tc>
        <w:tc>
          <w:tcPr>
            <w:tcW w:type="dxa" w:w="2664"/>
            <w:tcMar>
              <w:top w:type="dxa" w:w="80"/>
              <w:left w:type="dxa" w:w="110"/>
              <w:bottom w:type="dxa" w:w="80"/>
              <w:right w:type="dxa" w:w="110"/>
            </w:tcMar>
          </w:tcPr>
          <w:p>
            <w:pPr>
              <w:spacing w:after="0" w:line="260"/>
            </w:pPr>
            <w:r>
              <w:rPr>
                <w:b w:val="false"/>
                <w:bCs w:val="false"/>
                <w:sz w:val="19"/>
                <w:szCs w:val="19"/>
              </w:rPr>
              <w:t xml:space="preserve">Where deals actually happen; zero friction</w:t>
            </w:r>
          </w:p>
        </w:tc>
        <w:tc>
          <w:tcPr>
            <w:tcW w:type="dxa" w:w="2376"/>
            <w:tcMar>
              <w:top w:type="dxa" w:w="80"/>
              <w:left w:type="dxa" w:w="110"/>
              <w:bottom w:type="dxa" w:w="80"/>
              <w:right w:type="dxa" w:w="110"/>
            </w:tcMar>
          </w:tcPr>
          <w:p>
            <w:pPr>
              <w:spacing w:after="0" w:line="260"/>
            </w:pPr>
            <w:r>
              <w:rPr>
                <w:b w:val="false"/>
                <w:bCs w:val="false"/>
                <w:sz w:val="19"/>
                <w:szCs w:val="19"/>
              </w:rPr>
              <w:t xml:space="preserve">No record, no recourse, primary fraud vector</w:t>
            </w:r>
          </w:p>
        </w:tc>
      </w:tr>
      <w:tr>
        <w:tc>
          <w:tcPr>
            <w:tcW w:type="dxa" w:w="2160"/>
            <w:tcMar>
              <w:top w:type="dxa" w:w="80"/>
              <w:left w:type="dxa" w:w="110"/>
              <w:bottom w:type="dxa" w:w="80"/>
              <w:right w:type="dxa" w:w="110"/>
            </w:tcMar>
          </w:tcPr>
          <w:p>
            <w:pPr>
              <w:spacing w:after="0" w:line="260"/>
            </w:pPr>
            <w:r>
              <w:rPr>
                <w:b/>
                <w:bCs/>
                <w:sz w:val="19"/>
                <w:szCs w:val="19"/>
              </w:rPr>
              <w:t xml:space="preserve">Individual firms (incl. J.U. Uzor)</w:t>
            </w:r>
          </w:p>
        </w:tc>
        <w:tc>
          <w:tcPr>
            <w:tcW w:type="dxa" w:w="2160"/>
            <w:tcMar>
              <w:top w:type="dxa" w:w="80"/>
              <w:left w:type="dxa" w:w="110"/>
              <w:bottom w:type="dxa" w:w="80"/>
              <w:right w:type="dxa" w:w="110"/>
            </w:tcMar>
          </w:tcPr>
          <w:p>
            <w:pPr>
              <w:spacing w:after="0" w:line="260"/>
            </w:pPr>
            <w:r>
              <w:rPr>
                <w:b w:val="false"/>
                <w:bCs w:val="false"/>
                <w:sz w:val="19"/>
                <w:szCs w:val="19"/>
              </w:rPr>
              <w:t xml:space="preserve">Offline, relationship-based</w:t>
            </w:r>
          </w:p>
        </w:tc>
        <w:tc>
          <w:tcPr>
            <w:tcW w:type="dxa" w:w="2664"/>
            <w:tcMar>
              <w:top w:type="dxa" w:w="80"/>
              <w:left w:type="dxa" w:w="110"/>
              <w:bottom w:type="dxa" w:w="80"/>
              <w:right w:type="dxa" w:w="110"/>
            </w:tcMar>
          </w:tcPr>
          <w:p>
            <w:pPr>
              <w:spacing w:after="0" w:line="260"/>
            </w:pPr>
            <w:r>
              <w:rPr>
                <w:b w:val="false"/>
                <w:bCs w:val="false"/>
                <w:sz w:val="19"/>
                <w:szCs w:val="19"/>
              </w:rPr>
              <w:t xml:space="preserve">Real trust, real diligence</w:t>
            </w:r>
          </w:p>
        </w:tc>
        <w:tc>
          <w:tcPr>
            <w:tcW w:type="dxa" w:w="2376"/>
            <w:tcMar>
              <w:top w:type="dxa" w:w="80"/>
              <w:left w:type="dxa" w:w="110"/>
              <w:bottom w:type="dxa" w:w="80"/>
              <w:right w:type="dxa" w:w="110"/>
            </w:tcMar>
          </w:tcPr>
          <w:p>
            <w:pPr>
              <w:spacing w:after="0" w:line="260"/>
            </w:pPr>
            <w:r>
              <w:rPr>
                <w:b w:val="false"/>
                <w:bCs w:val="false"/>
                <w:sz w:val="19"/>
                <w:szCs w:val="19"/>
              </w:rPr>
              <w:t xml:space="preserve">No reach, no digital surface, no scale</w:t>
            </w:r>
          </w:p>
        </w:tc>
      </w:tr>
      <w:tr>
        <w:tc>
          <w:tcPr>
            <w:tcW w:type="dxa" w:w="2160"/>
            <w:tcMar>
              <w:top w:type="dxa" w:w="80"/>
              <w:left w:type="dxa" w:w="110"/>
              <w:bottom w:type="dxa" w:w="80"/>
              <w:right w:type="dxa" w:w="110"/>
            </w:tcMar>
          </w:tcPr>
          <w:p>
            <w:pPr>
              <w:spacing w:after="0" w:line="260"/>
            </w:pPr>
            <w:r>
              <w:rPr>
                <w:b/>
                <w:bCs/>
                <w:sz w:val="19"/>
                <w:szCs w:val="19"/>
              </w:rPr>
              <w:t xml:space="preserve">Unö</w:t>
            </w:r>
          </w:p>
        </w:tc>
        <w:tc>
          <w:tcPr>
            <w:tcW w:type="dxa" w:w="2160"/>
            <w:tcMar>
              <w:top w:type="dxa" w:w="80"/>
              <w:left w:type="dxa" w:w="110"/>
              <w:bottom w:type="dxa" w:w="80"/>
              <w:right w:type="dxa" w:w="110"/>
            </w:tcMar>
          </w:tcPr>
          <w:p>
            <w:pPr>
              <w:spacing w:after="0" w:line="260"/>
            </w:pPr>
            <w:r>
              <w:rPr>
                <w:b w:val="false"/>
                <w:bCs w:val="false"/>
                <w:sz w:val="19"/>
                <w:szCs w:val="19"/>
              </w:rPr>
              <w:t xml:space="preserve">Free listings, paid verification &amp; settlement</w:t>
            </w:r>
          </w:p>
        </w:tc>
        <w:tc>
          <w:tcPr>
            <w:tcW w:type="dxa" w:w="2664"/>
            <w:tcMar>
              <w:top w:type="dxa" w:w="80"/>
              <w:left w:type="dxa" w:w="110"/>
              <w:bottom w:type="dxa" w:w="80"/>
              <w:right w:type="dxa" w:w="110"/>
            </w:tcMar>
          </w:tcPr>
          <w:p>
            <w:pPr>
              <w:spacing w:after="0" w:line="260"/>
            </w:pPr>
            <w:r>
              <w:rPr>
                <w:b w:val="false"/>
                <w:bCs w:val="false"/>
                <w:sz w:val="19"/>
                <w:szCs w:val="19"/>
              </w:rPr>
              <w:t xml:space="preserve">Verification as product; firm-centric; diaspora-native</w:t>
            </w:r>
          </w:p>
        </w:tc>
        <w:tc>
          <w:tcPr>
            <w:tcW w:type="dxa" w:w="2376"/>
            <w:tcMar>
              <w:top w:type="dxa" w:w="80"/>
              <w:left w:type="dxa" w:w="110"/>
              <w:bottom w:type="dxa" w:w="80"/>
              <w:right w:type="dxa" w:w="110"/>
            </w:tcMar>
          </w:tcPr>
          <w:p>
            <w:pPr>
              <w:spacing w:after="0" w:line="260"/>
            </w:pPr>
            <w:r>
              <w:rPr>
                <w:b w:val="false"/>
                <w:bCs w:val="false"/>
                <w:sz w:val="19"/>
                <w:szCs w:val="19"/>
              </w:rPr>
              <w:t xml:space="preserve">Must build inventory from zero</w:t>
            </w:r>
          </w:p>
        </w:tc>
      </w:tr>
    </w:tbl>
    <w:p>
      <w:pPr>
        <w:spacing w:after="160"/>
      </w:pPr>
      <w:r>
        <w:rPr>
          <w:sz w:val="2"/>
          <w:szCs w:val="2"/>
        </w:rPr>
        <w:t xml:space="preserve"/>
      </w:r>
    </w:p>
    <w:p>
      <w:pPr>
        <w:spacing w:after="140" w:line="280"/>
      </w:pPr>
      <w:r>
        <w:rPr>
          <w:b/>
          <w:bCs/>
          <w:sz w:val="21"/>
          <w:szCs w:val="21"/>
        </w:rPr>
        <w:t xml:space="preserve">The honest read on competition: </w:t>
      </w:r>
      <w:r>
        <w:rPr>
          <w:sz w:val="21"/>
          <w:szCs w:val="21"/>
        </w:rPr>
        <w:t xml:space="preserve">Unö's disadvantage is inventory and traffic. Incumbents have years of both. Unö's advantage is that their business model cannot follow it — a classifieds business that starts rejecting listings destroys its own revenue. This is a </w:t>
      </w:r>
      <w:r>
        <w:rPr>
          <w:b/>
          <w:bCs/>
          <w:sz w:val="21"/>
          <w:szCs w:val="21"/>
        </w:rPr>
        <w:t xml:space="preserve">structural moat, not a feature moat</w:t>
      </w:r>
      <w:r>
        <w:rPr>
          <w:sz w:val="21"/>
          <w:szCs w:val="21"/>
        </w:rPr>
        <w:t xml:space="preserve">, which is the only kind worth having.</w:t>
      </w:r>
    </w:p>
    <w:p>
      <w:pPr>
        <w:spacing w:after="140" w:line="280"/>
      </w:pPr>
      <w:r>
        <w:rPr>
          <w:b/>
          <w:bCs/>
          <w:sz w:val="21"/>
          <w:szCs w:val="21"/>
        </w:rPr>
        <w:t xml:space="preserve">Second structural moat: </w:t>
      </w:r>
      <w:r>
        <w:rPr>
          <w:sz w:val="21"/>
          <w:szCs w:val="21"/>
        </w:rPr>
        <w:t xml:space="preserve">every completed verification adds to a proprietary verified-title database. No competitor can replicate that without doing the same work, and the work is legal and human, not technical. Over time this becomes an asset independent of the app.</w:t>
      </w:r>
    </w:p>
    <w:p>
      <w:pPr>
        <w:pStyle w:val="Heading1"/>
        <w:spacing w:after="160" w:before="360"/>
      </w:pPr>
      <w:r>
        <w:rPr>
          <w:b/>
          <w:bCs/>
          <w:color w:val="1F4E5F"/>
          <w:sz w:val="30"/>
          <w:szCs w:val="30"/>
        </w:rPr>
        <w:t xml:space="preserve">5.  Business model</w:t>
      </w:r>
    </w:p>
    <w:p>
      <w:pPr>
        <w:pStyle w:val="Heading2"/>
        <w:spacing w:after="120" w:before="260"/>
      </w:pPr>
      <w:r>
        <w:rPr>
          <w:b/>
          <w:bCs/>
          <w:color w:val="1F4E5F"/>
          <w:sz w:val="24"/>
          <w:szCs w:val="24"/>
        </w:rPr>
        <w:t xml:space="preserve">Core principle</w:t>
      </w:r>
    </w:p>
    <w:p>
      <w:pPr>
        <w:spacing w:after="140" w:line="280"/>
      </w:pPr>
      <w:r>
        <w:rPr>
          <w:b/>
          <w:bCs/>
          <w:sz w:val="21"/>
          <w:szCs w:val="21"/>
        </w:rPr>
        <w:t xml:space="preserve">Listings are free, forever. </w:t>
      </w:r>
      <w:r>
        <w:rPr>
          <w:sz w:val="21"/>
          <w:szCs w:val="21"/>
        </w:rPr>
        <w:t xml:space="preserve">This is a strategic commitment, not a launch promo. Charging for listings recreates the incumbent's incentive problem — it makes volume the metric. Free listings let Unö reject aggressively without revenue pain, which is the only way verification stays credible.</w:t>
      </w:r>
    </w:p>
    <w:p>
      <w:pPr>
        <w:spacing w:after="140" w:line="280"/>
      </w:pPr>
      <w:r>
        <w:rPr>
          <w:sz w:val="21"/>
          <w:szCs w:val="21"/>
        </w:rPr>
        <w:t xml:space="preserve">Revenue comes from services that are </w:t>
      </w:r>
      <w:r>
        <w:rPr>
          <w:i/>
          <w:iCs/>
          <w:sz w:val="21"/>
          <w:szCs w:val="21"/>
        </w:rPr>
        <w:t xml:space="preserve">only possible because verification exists</w:t>
      </w:r>
      <w:r>
        <w:rPr>
          <w:sz w:val="21"/>
          <w:szCs w:val="21"/>
        </w:rPr>
        <w:t xml:space="preserve">.</w:t>
      </w:r>
    </w:p>
    <w:p>
      <w:pPr>
        <w:pStyle w:val="Heading2"/>
        <w:spacing w:after="120" w:before="260"/>
      </w:pPr>
      <w:r>
        <w:rPr>
          <w:b/>
          <w:bCs/>
          <w:color w:val="1F4E5F"/>
          <w:sz w:val="24"/>
          <w:szCs w:val="24"/>
        </w:rPr>
        <w:t xml:space="preserve">Revenue lines</w:t>
      </w:r>
    </w:p>
    <w:tbl>
      <w:tblPr>
        <w:tblW w:type="dxa" w:w="9432"/>
        <w:tblBorders>
          <w:top w:val="single" w:color="B8C4CC" w:sz="4"/>
          <w:left w:val="single" w:color="B8C4CC" w:sz="4"/>
          <w:bottom w:val="single" w:color="B8C4CC" w:sz="4"/>
          <w:right w:val="single" w:color="B8C4CC" w:sz="4"/>
          <w:insideH w:val="single" w:color="D5DDE2" w:sz="3"/>
          <w:insideV w:val="single" w:color="D5DDE2" w:sz="3"/>
        </w:tblBorders>
      </w:tblPr>
      <w:tblGrid>
        <w:gridCol w:w="461"/>
        <w:gridCol w:w="2232"/>
        <w:gridCol w:w="1656"/>
        <w:gridCol w:w="720"/>
        <w:gridCol w:w="4363"/>
      </w:tblGrid>
      <w:tr>
        <w:trPr>
          <w:tblHeader/>
        </w:trPr>
        <w:tc>
          <w:tcPr>
            <w:tcW w:type="dxa" w:w="461"/>
            <w:shd w:fill="E8EEF1" w:color="auto" w:val="clear"/>
            <w:tcMar>
              <w:top w:type="dxa" w:w="80"/>
              <w:left w:type="dxa" w:w="110"/>
              <w:bottom w:type="dxa" w:w="80"/>
              <w:right w:type="dxa" w:w="110"/>
            </w:tcMar>
          </w:tcPr>
          <w:p>
            <w:pPr>
              <w:spacing w:after="0" w:line="260"/>
            </w:pPr>
            <w:r>
              <w:rPr>
                <w:b/>
                <w:bCs/>
                <w:sz w:val="19"/>
                <w:szCs w:val="19"/>
              </w:rPr>
              <w:t xml:space="preserve">#</w:t>
            </w:r>
          </w:p>
        </w:tc>
        <w:tc>
          <w:tcPr>
            <w:tcW w:type="dxa" w:w="2232"/>
            <w:shd w:fill="E8EEF1" w:color="auto" w:val="clear"/>
            <w:tcMar>
              <w:top w:type="dxa" w:w="80"/>
              <w:left w:type="dxa" w:w="110"/>
              <w:bottom w:type="dxa" w:w="80"/>
              <w:right w:type="dxa" w:w="110"/>
            </w:tcMar>
          </w:tcPr>
          <w:p>
            <w:pPr>
              <w:spacing w:after="0" w:line="260"/>
            </w:pPr>
            <w:r>
              <w:rPr>
                <w:b/>
                <w:bCs/>
                <w:sz w:val="19"/>
                <w:szCs w:val="19"/>
              </w:rPr>
              <w:t xml:space="preserve">Line</w:t>
            </w:r>
          </w:p>
        </w:tc>
        <w:tc>
          <w:tcPr>
            <w:tcW w:type="dxa" w:w="1656"/>
            <w:shd w:fill="E8EEF1" w:color="auto" w:val="clear"/>
            <w:tcMar>
              <w:top w:type="dxa" w:w="80"/>
              <w:left w:type="dxa" w:w="110"/>
              <w:bottom w:type="dxa" w:w="80"/>
              <w:right w:type="dxa" w:w="110"/>
            </w:tcMar>
          </w:tcPr>
          <w:p>
            <w:pPr>
              <w:spacing w:after="0" w:line="260"/>
            </w:pPr>
            <w:r>
              <w:rPr>
                <w:b/>
                <w:bCs/>
                <w:sz w:val="19"/>
                <w:szCs w:val="19"/>
              </w:rPr>
              <w:t xml:space="preserve">Who pays</w:t>
            </w:r>
          </w:p>
        </w:tc>
        <w:tc>
          <w:tcPr>
            <w:tcW w:type="dxa" w:w="720"/>
            <w:shd w:fill="E8EEF1" w:color="auto" w:val="clear"/>
            <w:tcMar>
              <w:top w:type="dxa" w:w="80"/>
              <w:left w:type="dxa" w:w="110"/>
              <w:bottom w:type="dxa" w:w="80"/>
              <w:right w:type="dxa" w:w="110"/>
            </w:tcMar>
          </w:tcPr>
          <w:p>
            <w:pPr>
              <w:spacing w:after="0" w:line="260"/>
            </w:pPr>
            <w:r>
              <w:rPr>
                <w:b/>
                <w:bCs/>
                <w:sz w:val="19"/>
                <w:szCs w:val="19"/>
              </w:rPr>
              <w:t xml:space="preserve">Phase</w:t>
            </w:r>
          </w:p>
        </w:tc>
        <w:tc>
          <w:tcPr>
            <w:tcW w:type="dxa" w:w="4363"/>
            <w:shd w:fill="E8EEF1" w:color="auto" w:val="clear"/>
            <w:tcMar>
              <w:top w:type="dxa" w:w="80"/>
              <w:left w:type="dxa" w:w="110"/>
              <w:bottom w:type="dxa" w:w="80"/>
              <w:right w:type="dxa" w:w="110"/>
            </w:tcMar>
          </w:tcPr>
          <w:p>
            <w:pPr>
              <w:spacing w:after="0" w:line="260"/>
            </w:pPr>
            <w:r>
              <w:rPr>
                <w:b/>
                <w:bCs/>
                <w:sz w:val="19"/>
                <w:szCs w:val="19"/>
              </w:rPr>
              <w:t xml:space="preserve">Notes</w:t>
            </w:r>
          </w:p>
        </w:tc>
      </w:tr>
      <w:tr>
        <w:tc>
          <w:tcPr>
            <w:tcW w:type="dxa" w:w="461"/>
            <w:tcMar>
              <w:top w:type="dxa" w:w="80"/>
              <w:left w:type="dxa" w:w="110"/>
              <w:bottom w:type="dxa" w:w="80"/>
              <w:right w:type="dxa" w:w="110"/>
            </w:tcMar>
          </w:tcPr>
          <w:p>
            <w:pPr>
              <w:spacing w:after="0" w:line="260"/>
            </w:pPr>
            <w:r>
              <w:rPr>
                <w:b/>
                <w:bCs/>
                <w:sz w:val="19"/>
                <w:szCs w:val="19"/>
              </w:rPr>
              <w:t xml:space="preserve">1</w:t>
            </w:r>
          </w:p>
        </w:tc>
        <w:tc>
          <w:tcPr>
            <w:tcW w:type="dxa" w:w="2232"/>
            <w:tcMar>
              <w:top w:type="dxa" w:w="80"/>
              <w:left w:type="dxa" w:w="110"/>
              <w:bottom w:type="dxa" w:w="80"/>
              <w:right w:type="dxa" w:w="110"/>
            </w:tcMar>
          </w:tcPr>
          <w:p>
            <w:pPr>
              <w:spacing w:after="0" w:line="260"/>
            </w:pPr>
            <w:r>
              <w:rPr>
                <w:b w:val="false"/>
                <w:bCs w:val="false"/>
                <w:sz w:val="19"/>
                <w:szCs w:val="19"/>
              </w:rPr>
              <w:t xml:space="preserve">Title verification</w:t>
            </w:r>
          </w:p>
        </w:tc>
        <w:tc>
          <w:tcPr>
            <w:tcW w:type="dxa" w:w="1656"/>
            <w:tcMar>
              <w:top w:type="dxa" w:w="80"/>
              <w:left w:type="dxa" w:w="110"/>
              <w:bottom w:type="dxa" w:w="80"/>
              <w:right w:type="dxa" w:w="110"/>
            </w:tcMar>
          </w:tcPr>
          <w:p>
            <w:pPr>
              <w:spacing w:after="0" w:line="260"/>
            </w:pPr>
            <w:r>
              <w:rPr>
                <w:b w:val="false"/>
                <w:bCs w:val="false"/>
                <w:sz w:val="19"/>
                <w:szCs w:val="19"/>
              </w:rPr>
              <w:t xml:space="preserve">Buyer or owner</w:t>
            </w:r>
          </w:p>
        </w:tc>
        <w:tc>
          <w:tcPr>
            <w:tcW w:type="dxa" w:w="720"/>
            <w:tcMar>
              <w:top w:type="dxa" w:w="80"/>
              <w:left w:type="dxa" w:w="110"/>
              <w:bottom w:type="dxa" w:w="80"/>
              <w:right w:type="dxa" w:w="110"/>
            </w:tcMar>
          </w:tcPr>
          <w:p>
            <w:pPr>
              <w:spacing w:after="0" w:line="260"/>
            </w:pPr>
            <w:r>
              <w:rPr>
                <w:b w:val="false"/>
                <w:bCs w:val="false"/>
                <w:sz w:val="19"/>
                <w:szCs w:val="19"/>
              </w:rPr>
              <w:t xml:space="preserve">1</w:t>
            </w:r>
          </w:p>
        </w:tc>
        <w:tc>
          <w:tcPr>
            <w:tcW w:type="dxa" w:w="4363"/>
            <w:tcMar>
              <w:top w:type="dxa" w:w="80"/>
              <w:left w:type="dxa" w:w="110"/>
              <w:bottom w:type="dxa" w:w="80"/>
              <w:right w:type="dxa" w:w="110"/>
            </w:tcMar>
          </w:tcPr>
          <w:p>
            <w:pPr>
              <w:spacing w:after="0" w:line="260"/>
            </w:pPr>
            <w:r>
              <w:rPr>
                <w:b w:val="false"/>
                <w:bCs w:val="false"/>
                <w:sz w:val="19"/>
                <w:szCs w:val="19"/>
              </w:rPr>
              <w:t xml:space="preserve">Solicitor-backed registry check + risk report. The flagship paid service.</w:t>
            </w:r>
          </w:p>
        </w:tc>
      </w:tr>
      <w:tr>
        <w:tc>
          <w:tcPr>
            <w:tcW w:type="dxa" w:w="461"/>
            <w:tcMar>
              <w:top w:type="dxa" w:w="80"/>
              <w:left w:type="dxa" w:w="110"/>
              <w:bottom w:type="dxa" w:w="80"/>
              <w:right w:type="dxa" w:w="110"/>
            </w:tcMar>
          </w:tcPr>
          <w:p>
            <w:pPr>
              <w:spacing w:after="0" w:line="260"/>
            </w:pPr>
            <w:r>
              <w:rPr>
                <w:b/>
                <w:bCs/>
                <w:sz w:val="19"/>
                <w:szCs w:val="19"/>
              </w:rPr>
              <w:t xml:space="preserve">2</w:t>
            </w:r>
          </w:p>
        </w:tc>
        <w:tc>
          <w:tcPr>
            <w:tcW w:type="dxa" w:w="2232"/>
            <w:tcMar>
              <w:top w:type="dxa" w:w="80"/>
              <w:left w:type="dxa" w:w="110"/>
              <w:bottom w:type="dxa" w:w="80"/>
              <w:right w:type="dxa" w:w="110"/>
            </w:tcMar>
          </w:tcPr>
          <w:p>
            <w:pPr>
              <w:spacing w:after="0" w:line="260"/>
            </w:pPr>
            <w:r>
              <w:rPr>
                <w:b w:val="false"/>
                <w:bCs w:val="false"/>
                <w:sz w:val="19"/>
                <w:szCs w:val="19"/>
              </w:rPr>
              <w:t xml:space="preserve">Verified inspection report</w:t>
            </w:r>
          </w:p>
        </w:tc>
        <w:tc>
          <w:tcPr>
            <w:tcW w:type="dxa" w:w="1656"/>
            <w:tcMar>
              <w:top w:type="dxa" w:w="80"/>
              <w:left w:type="dxa" w:w="110"/>
              <w:bottom w:type="dxa" w:w="80"/>
              <w:right w:type="dxa" w:w="110"/>
            </w:tcMar>
          </w:tcPr>
          <w:p>
            <w:pPr>
              <w:spacing w:after="0" w:line="260"/>
            </w:pPr>
            <w:r>
              <w:rPr>
                <w:b w:val="false"/>
                <w:bCs w:val="false"/>
                <w:sz w:val="19"/>
                <w:szCs w:val="19"/>
              </w:rPr>
              <w:t xml:space="preserve">Buyer (esp. diaspora)</w:t>
            </w:r>
          </w:p>
        </w:tc>
        <w:tc>
          <w:tcPr>
            <w:tcW w:type="dxa" w:w="720"/>
            <w:tcMar>
              <w:top w:type="dxa" w:w="80"/>
              <w:left w:type="dxa" w:w="110"/>
              <w:bottom w:type="dxa" w:w="80"/>
              <w:right w:type="dxa" w:w="110"/>
            </w:tcMar>
          </w:tcPr>
          <w:p>
            <w:pPr>
              <w:spacing w:after="0" w:line="260"/>
            </w:pPr>
            <w:r>
              <w:rPr>
                <w:b w:val="false"/>
                <w:bCs w:val="false"/>
                <w:sz w:val="19"/>
                <w:szCs w:val="19"/>
              </w:rPr>
              <w:t xml:space="preserve">1</w:t>
            </w:r>
          </w:p>
        </w:tc>
        <w:tc>
          <w:tcPr>
            <w:tcW w:type="dxa" w:w="4363"/>
            <w:tcMar>
              <w:top w:type="dxa" w:w="80"/>
              <w:left w:type="dxa" w:w="110"/>
              <w:bottom w:type="dxa" w:w="80"/>
              <w:right w:type="dxa" w:w="110"/>
            </w:tcMar>
          </w:tcPr>
          <w:p>
            <w:pPr>
              <w:spacing w:after="0" w:line="260"/>
            </w:pPr>
            <w:r>
              <w:rPr>
                <w:b w:val="false"/>
                <w:bCs w:val="false"/>
                <w:sz w:val="19"/>
                <w:szCs w:val="19"/>
              </w:rPr>
              <w:t xml:space="preserve">Vetted surveyor visits, photographs, certifies listing accuracy. Converts the professional network into product.</w:t>
            </w:r>
          </w:p>
        </w:tc>
      </w:tr>
      <w:tr>
        <w:tc>
          <w:tcPr>
            <w:tcW w:type="dxa" w:w="461"/>
            <w:tcMar>
              <w:top w:type="dxa" w:w="80"/>
              <w:left w:type="dxa" w:w="110"/>
              <w:bottom w:type="dxa" w:w="80"/>
              <w:right w:type="dxa" w:w="110"/>
            </w:tcMar>
          </w:tcPr>
          <w:p>
            <w:pPr>
              <w:spacing w:after="0" w:line="260"/>
            </w:pPr>
            <w:r>
              <w:rPr>
                <w:b/>
                <w:bCs/>
                <w:sz w:val="19"/>
                <w:szCs w:val="19"/>
              </w:rPr>
              <w:t xml:space="preserve">3</w:t>
            </w:r>
          </w:p>
        </w:tc>
        <w:tc>
          <w:tcPr>
            <w:tcW w:type="dxa" w:w="2232"/>
            <w:tcMar>
              <w:top w:type="dxa" w:w="80"/>
              <w:left w:type="dxa" w:w="110"/>
              <w:bottom w:type="dxa" w:w="80"/>
              <w:right w:type="dxa" w:w="110"/>
            </w:tcMar>
          </w:tcPr>
          <w:p>
            <w:pPr>
              <w:spacing w:after="0" w:line="260"/>
            </w:pPr>
            <w:r>
              <w:rPr>
                <w:b w:val="false"/>
                <w:bCs w:val="false"/>
                <w:sz w:val="19"/>
                <w:szCs w:val="19"/>
              </w:rPr>
              <w:t xml:space="preserve">Agent / firm verification badge</w:t>
            </w:r>
          </w:p>
        </w:tc>
        <w:tc>
          <w:tcPr>
            <w:tcW w:type="dxa" w:w="1656"/>
            <w:tcMar>
              <w:top w:type="dxa" w:w="80"/>
              <w:left w:type="dxa" w:w="110"/>
              <w:bottom w:type="dxa" w:w="80"/>
              <w:right w:type="dxa" w:w="110"/>
            </w:tcMar>
          </w:tcPr>
          <w:p>
            <w:pPr>
              <w:spacing w:after="0" w:line="260"/>
            </w:pPr>
            <w:r>
              <w:rPr>
                <w:b w:val="false"/>
                <w:bCs w:val="false"/>
                <w:sz w:val="19"/>
                <w:szCs w:val="19"/>
              </w:rPr>
              <w:t xml:space="preserve">Agent or firm</w:t>
            </w:r>
          </w:p>
        </w:tc>
        <w:tc>
          <w:tcPr>
            <w:tcW w:type="dxa" w:w="720"/>
            <w:tcMar>
              <w:top w:type="dxa" w:w="80"/>
              <w:left w:type="dxa" w:w="110"/>
              <w:bottom w:type="dxa" w:w="80"/>
              <w:right w:type="dxa" w:w="110"/>
            </w:tcMar>
          </w:tcPr>
          <w:p>
            <w:pPr>
              <w:spacing w:after="0" w:line="260"/>
            </w:pPr>
            <w:r>
              <w:rPr>
                <w:b w:val="false"/>
                <w:bCs w:val="false"/>
                <w:sz w:val="19"/>
                <w:szCs w:val="19"/>
              </w:rPr>
              <w:t xml:space="preserve">1</w:t>
            </w:r>
          </w:p>
        </w:tc>
        <w:tc>
          <w:tcPr>
            <w:tcW w:type="dxa" w:w="4363"/>
            <w:tcMar>
              <w:top w:type="dxa" w:w="80"/>
              <w:left w:type="dxa" w:w="110"/>
              <w:bottom w:type="dxa" w:w="80"/>
              <w:right w:type="dxa" w:w="110"/>
            </w:tcMar>
          </w:tcPr>
          <w:p>
            <w:pPr>
              <w:spacing w:after="0" w:line="260"/>
            </w:pPr>
            <w:r>
              <w:rPr>
                <w:b w:val="false"/>
                <w:bCs w:val="false"/>
                <w:sz w:val="19"/>
                <w:szCs w:val="19"/>
              </w:rPr>
              <w:t xml:space="preserve">Annual KYC + credential check. Modest fee; the badge is the value.</w:t>
            </w:r>
          </w:p>
        </w:tc>
      </w:tr>
      <w:tr>
        <w:tc>
          <w:tcPr>
            <w:tcW w:type="dxa" w:w="461"/>
            <w:tcMar>
              <w:top w:type="dxa" w:w="80"/>
              <w:left w:type="dxa" w:w="110"/>
              <w:bottom w:type="dxa" w:w="80"/>
              <w:right w:type="dxa" w:w="110"/>
            </w:tcMar>
          </w:tcPr>
          <w:p>
            <w:pPr>
              <w:spacing w:after="0" w:line="260"/>
            </w:pPr>
            <w:r>
              <w:rPr>
                <w:b/>
                <w:bCs/>
                <w:sz w:val="19"/>
                <w:szCs w:val="19"/>
              </w:rPr>
              <w:t xml:space="preserve">4</w:t>
            </w:r>
          </w:p>
        </w:tc>
        <w:tc>
          <w:tcPr>
            <w:tcW w:type="dxa" w:w="2232"/>
            <w:tcMar>
              <w:top w:type="dxa" w:w="80"/>
              <w:left w:type="dxa" w:w="110"/>
              <w:bottom w:type="dxa" w:w="80"/>
              <w:right w:type="dxa" w:w="110"/>
            </w:tcMar>
          </w:tcPr>
          <w:p>
            <w:pPr>
              <w:spacing w:after="0" w:line="260"/>
            </w:pPr>
            <w:r>
              <w:rPr>
                <w:b w:val="false"/>
                <w:bCs w:val="false"/>
                <w:sz w:val="19"/>
                <w:szCs w:val="19"/>
              </w:rPr>
              <w:t xml:space="preserve">"Verify your property"</w:t>
            </w:r>
          </w:p>
        </w:tc>
        <w:tc>
          <w:tcPr>
            <w:tcW w:type="dxa" w:w="1656"/>
            <w:tcMar>
              <w:top w:type="dxa" w:w="80"/>
              <w:left w:type="dxa" w:w="110"/>
              <w:bottom w:type="dxa" w:w="80"/>
              <w:right w:type="dxa" w:w="110"/>
            </w:tcMar>
          </w:tcPr>
          <w:p>
            <w:pPr>
              <w:spacing w:after="0" w:line="260"/>
            </w:pPr>
            <w:r>
              <w:rPr>
                <w:b w:val="false"/>
                <w:bCs w:val="false"/>
                <w:sz w:val="19"/>
                <w:szCs w:val="19"/>
              </w:rPr>
              <w:t xml:space="preserve">Owner</w:t>
            </w:r>
          </w:p>
        </w:tc>
        <w:tc>
          <w:tcPr>
            <w:tcW w:type="dxa" w:w="720"/>
            <w:tcMar>
              <w:top w:type="dxa" w:w="80"/>
              <w:left w:type="dxa" w:w="110"/>
              <w:bottom w:type="dxa" w:w="80"/>
              <w:right w:type="dxa" w:w="110"/>
            </w:tcMar>
          </w:tcPr>
          <w:p>
            <w:pPr>
              <w:spacing w:after="0" w:line="260"/>
            </w:pPr>
            <w:r>
              <w:rPr>
                <w:b w:val="false"/>
                <w:bCs w:val="false"/>
                <w:sz w:val="19"/>
                <w:szCs w:val="19"/>
              </w:rPr>
              <w:t xml:space="preserve">1–2</w:t>
            </w:r>
          </w:p>
        </w:tc>
        <w:tc>
          <w:tcPr>
            <w:tcW w:type="dxa" w:w="4363"/>
            <w:tcMar>
              <w:top w:type="dxa" w:w="80"/>
              <w:left w:type="dxa" w:w="110"/>
              <w:bottom w:type="dxa" w:w="80"/>
              <w:right w:type="dxa" w:w="110"/>
            </w:tcMar>
          </w:tcPr>
          <w:p>
            <w:pPr>
              <w:spacing w:after="0" w:line="260"/>
            </w:pPr>
            <w:r>
              <w:rPr>
                <w:b w:val="false"/>
                <w:bCs w:val="false"/>
                <w:sz w:val="19"/>
                <w:szCs w:val="19"/>
              </w:rPr>
              <w:t xml:space="preserve">Owner verifies title pre-listing; builds the proprietary title database.</w:t>
            </w:r>
          </w:p>
        </w:tc>
      </w:tr>
      <w:tr>
        <w:tc>
          <w:tcPr>
            <w:tcW w:type="dxa" w:w="461"/>
            <w:tcMar>
              <w:top w:type="dxa" w:w="80"/>
              <w:left w:type="dxa" w:w="110"/>
              <w:bottom w:type="dxa" w:w="80"/>
              <w:right w:type="dxa" w:w="110"/>
            </w:tcMar>
          </w:tcPr>
          <w:p>
            <w:pPr>
              <w:spacing w:after="0" w:line="260"/>
            </w:pPr>
            <w:r>
              <w:rPr>
                <w:b/>
                <w:bCs/>
                <w:sz w:val="19"/>
                <w:szCs w:val="19"/>
              </w:rPr>
              <w:t xml:space="preserve">5</w:t>
            </w:r>
          </w:p>
        </w:tc>
        <w:tc>
          <w:tcPr>
            <w:tcW w:type="dxa" w:w="2232"/>
            <w:tcMar>
              <w:top w:type="dxa" w:w="80"/>
              <w:left w:type="dxa" w:w="110"/>
              <w:bottom w:type="dxa" w:w="80"/>
              <w:right w:type="dxa" w:w="110"/>
            </w:tcMar>
          </w:tcPr>
          <w:p>
            <w:pPr>
              <w:spacing w:after="0" w:line="260"/>
            </w:pPr>
            <w:r>
              <w:rPr>
                <w:b w:val="false"/>
                <w:bCs w:val="false"/>
                <w:sz w:val="19"/>
                <w:szCs w:val="19"/>
              </w:rPr>
              <w:t xml:space="preserve">Escrow settlement fee</w:t>
            </w:r>
          </w:p>
        </w:tc>
        <w:tc>
          <w:tcPr>
            <w:tcW w:type="dxa" w:w="1656"/>
            <w:tcMar>
              <w:top w:type="dxa" w:w="80"/>
              <w:left w:type="dxa" w:w="110"/>
              <w:bottom w:type="dxa" w:w="80"/>
              <w:right w:type="dxa" w:w="110"/>
            </w:tcMar>
          </w:tcPr>
          <w:p>
            <w:pPr>
              <w:spacing w:after="0" w:line="260"/>
            </w:pPr>
            <w:r>
              <w:rPr>
                <w:b w:val="false"/>
                <w:bCs w:val="false"/>
                <w:sz w:val="19"/>
                <w:szCs w:val="19"/>
              </w:rPr>
              <w:t xml:space="preserve">Split buyer / seller</w:t>
            </w:r>
          </w:p>
        </w:tc>
        <w:tc>
          <w:tcPr>
            <w:tcW w:type="dxa" w:w="720"/>
            <w:tcMar>
              <w:top w:type="dxa" w:w="80"/>
              <w:left w:type="dxa" w:w="110"/>
              <w:bottom w:type="dxa" w:w="80"/>
              <w:right w:type="dxa" w:w="110"/>
            </w:tcMar>
          </w:tcPr>
          <w:p>
            <w:pPr>
              <w:spacing w:after="0" w:line="260"/>
            </w:pPr>
            <w:r>
              <w:rPr>
                <w:b w:val="false"/>
                <w:bCs w:val="false"/>
                <w:sz w:val="19"/>
                <w:szCs w:val="19"/>
              </w:rPr>
              <w:t xml:space="preserve">2</w:t>
            </w:r>
          </w:p>
        </w:tc>
        <w:tc>
          <w:tcPr>
            <w:tcW w:type="dxa" w:w="4363"/>
            <w:tcMar>
              <w:top w:type="dxa" w:w="80"/>
              <w:left w:type="dxa" w:w="110"/>
              <w:bottom w:type="dxa" w:w="80"/>
              <w:right w:type="dxa" w:w="110"/>
            </w:tcMar>
          </w:tcPr>
          <w:p>
            <w:pPr>
              <w:spacing w:after="0" w:line="260"/>
            </w:pPr>
            <w:r>
              <w:rPr>
                <w:b w:val="false"/>
                <w:bCs w:val="false"/>
                <w:sz w:val="19"/>
                <w:szCs w:val="19"/>
              </w:rPr>
              <w:t xml:space="preserve">% of transaction, via licensed partner. Becomes the dominant line at scale.</w:t>
            </w:r>
          </w:p>
        </w:tc>
      </w:tr>
      <w:tr>
        <w:tc>
          <w:tcPr>
            <w:tcW w:type="dxa" w:w="461"/>
            <w:tcMar>
              <w:top w:type="dxa" w:w="80"/>
              <w:left w:type="dxa" w:w="110"/>
              <w:bottom w:type="dxa" w:w="80"/>
              <w:right w:type="dxa" w:w="110"/>
            </w:tcMar>
          </w:tcPr>
          <w:p>
            <w:pPr>
              <w:spacing w:after="0" w:line="260"/>
            </w:pPr>
            <w:r>
              <w:rPr>
                <w:b/>
                <w:bCs/>
                <w:sz w:val="19"/>
                <w:szCs w:val="19"/>
              </w:rPr>
              <w:t xml:space="preserve">6</w:t>
            </w:r>
          </w:p>
        </w:tc>
        <w:tc>
          <w:tcPr>
            <w:tcW w:type="dxa" w:w="2232"/>
            <w:tcMar>
              <w:top w:type="dxa" w:w="80"/>
              <w:left w:type="dxa" w:w="110"/>
              <w:bottom w:type="dxa" w:w="80"/>
              <w:right w:type="dxa" w:w="110"/>
            </w:tcMar>
          </w:tcPr>
          <w:p>
            <w:pPr>
              <w:spacing w:after="0" w:line="260"/>
            </w:pPr>
            <w:r>
              <w:rPr>
                <w:b w:val="false"/>
                <w:bCs w:val="false"/>
                <w:sz w:val="19"/>
                <w:szCs w:val="19"/>
              </w:rPr>
              <w:t xml:space="preserve">Contract generation + e-sign</w:t>
            </w:r>
          </w:p>
        </w:tc>
        <w:tc>
          <w:tcPr>
            <w:tcW w:type="dxa" w:w="1656"/>
            <w:tcMar>
              <w:top w:type="dxa" w:w="80"/>
              <w:left w:type="dxa" w:w="110"/>
              <w:bottom w:type="dxa" w:w="80"/>
              <w:right w:type="dxa" w:w="110"/>
            </w:tcMar>
          </w:tcPr>
          <w:p>
            <w:pPr>
              <w:spacing w:after="0" w:line="260"/>
            </w:pPr>
            <w:r>
              <w:rPr>
                <w:b w:val="false"/>
                <w:bCs w:val="false"/>
                <w:sz w:val="19"/>
                <w:szCs w:val="19"/>
              </w:rPr>
              <w:t xml:space="preserve">Transacting parties</w:t>
            </w:r>
          </w:p>
        </w:tc>
        <w:tc>
          <w:tcPr>
            <w:tcW w:type="dxa" w:w="720"/>
            <w:tcMar>
              <w:top w:type="dxa" w:w="80"/>
              <w:left w:type="dxa" w:w="110"/>
              <w:bottom w:type="dxa" w:w="80"/>
              <w:right w:type="dxa" w:w="110"/>
            </w:tcMar>
          </w:tcPr>
          <w:p>
            <w:pPr>
              <w:spacing w:after="0" w:line="260"/>
            </w:pPr>
            <w:r>
              <w:rPr>
                <w:b w:val="false"/>
                <w:bCs w:val="false"/>
                <w:sz w:val="19"/>
                <w:szCs w:val="19"/>
              </w:rPr>
              <w:t xml:space="preserve">2</w:t>
            </w:r>
          </w:p>
        </w:tc>
        <w:tc>
          <w:tcPr>
            <w:tcW w:type="dxa" w:w="4363"/>
            <w:tcMar>
              <w:top w:type="dxa" w:w="80"/>
              <w:left w:type="dxa" w:w="110"/>
              <w:bottom w:type="dxa" w:w="80"/>
              <w:right w:type="dxa" w:w="110"/>
            </w:tcMar>
          </w:tcPr>
          <w:p>
            <w:pPr>
              <w:spacing w:after="0" w:line="260"/>
            </w:pPr>
            <w:r>
              <w:rPr>
                <w:b w:val="false"/>
                <w:bCs w:val="false"/>
                <w:sz w:val="19"/>
                <w:szCs w:val="19"/>
              </w:rPr>
              <w:t xml:space="preserve">Bundled with escrow in practice.</w:t>
            </w:r>
          </w:p>
        </w:tc>
      </w:tr>
      <w:tr>
        <w:tc>
          <w:tcPr>
            <w:tcW w:type="dxa" w:w="461"/>
            <w:tcMar>
              <w:top w:type="dxa" w:w="80"/>
              <w:left w:type="dxa" w:w="110"/>
              <w:bottom w:type="dxa" w:w="80"/>
              <w:right w:type="dxa" w:w="110"/>
            </w:tcMar>
          </w:tcPr>
          <w:p>
            <w:pPr>
              <w:spacing w:after="0" w:line="260"/>
            </w:pPr>
            <w:r>
              <w:rPr>
                <w:b/>
                <w:bCs/>
                <w:sz w:val="19"/>
                <w:szCs w:val="19"/>
              </w:rPr>
              <w:t xml:space="preserve">7</w:t>
            </w:r>
          </w:p>
        </w:tc>
        <w:tc>
          <w:tcPr>
            <w:tcW w:type="dxa" w:w="2232"/>
            <w:tcMar>
              <w:top w:type="dxa" w:w="80"/>
              <w:left w:type="dxa" w:w="110"/>
              <w:bottom w:type="dxa" w:w="80"/>
              <w:right w:type="dxa" w:w="110"/>
            </w:tcMar>
          </w:tcPr>
          <w:p>
            <w:pPr>
              <w:spacing w:after="0" w:line="260"/>
            </w:pPr>
            <w:r>
              <w:rPr>
                <w:b w:val="false"/>
                <w:bCs w:val="false"/>
                <w:sz w:val="19"/>
                <w:szCs w:val="19"/>
              </w:rPr>
              <w:t xml:space="preserve">Premium listing (3D + verified + escrow-ready)</w:t>
            </w:r>
          </w:p>
        </w:tc>
        <w:tc>
          <w:tcPr>
            <w:tcW w:type="dxa" w:w="1656"/>
            <w:tcMar>
              <w:top w:type="dxa" w:w="80"/>
              <w:left w:type="dxa" w:w="110"/>
              <w:bottom w:type="dxa" w:w="80"/>
              <w:right w:type="dxa" w:w="110"/>
            </w:tcMar>
          </w:tcPr>
          <w:p>
            <w:pPr>
              <w:spacing w:after="0" w:line="260"/>
            </w:pPr>
            <w:r>
              <w:rPr>
                <w:b w:val="false"/>
                <w:bCs w:val="false"/>
                <w:sz w:val="19"/>
                <w:szCs w:val="19"/>
              </w:rPr>
              <w:t xml:space="preserve">Agent / developer</w:t>
            </w:r>
          </w:p>
        </w:tc>
        <w:tc>
          <w:tcPr>
            <w:tcW w:type="dxa" w:w="720"/>
            <w:tcMar>
              <w:top w:type="dxa" w:w="80"/>
              <w:left w:type="dxa" w:w="110"/>
              <w:bottom w:type="dxa" w:w="80"/>
              <w:right w:type="dxa" w:w="110"/>
            </w:tcMar>
          </w:tcPr>
          <w:p>
            <w:pPr>
              <w:spacing w:after="0" w:line="260"/>
            </w:pPr>
            <w:r>
              <w:rPr>
                <w:b w:val="false"/>
                <w:bCs w:val="false"/>
                <w:sz w:val="19"/>
                <w:szCs w:val="19"/>
              </w:rPr>
              <w:t xml:space="preserve">2</w:t>
            </w:r>
          </w:p>
        </w:tc>
        <w:tc>
          <w:tcPr>
            <w:tcW w:type="dxa" w:w="4363"/>
            <w:tcMar>
              <w:top w:type="dxa" w:w="80"/>
              <w:left w:type="dxa" w:w="110"/>
              <w:bottom w:type="dxa" w:w="80"/>
              <w:right w:type="dxa" w:w="110"/>
            </w:tcMar>
          </w:tcPr>
          <w:p>
            <w:pPr>
              <w:spacing w:after="0" w:line="260"/>
            </w:pPr>
            <w:r>
              <w:rPr>
                <w:b w:val="false"/>
                <w:bCs w:val="false"/>
                <w:sz w:val="19"/>
                <w:szCs w:val="19"/>
              </w:rPr>
              <w:t xml:space="preserve">Zillow's premium is prettier photos; Unö's premium is provable.</w:t>
            </w:r>
          </w:p>
        </w:tc>
      </w:tr>
      <w:tr>
        <w:tc>
          <w:tcPr>
            <w:tcW w:type="dxa" w:w="461"/>
            <w:tcMar>
              <w:top w:type="dxa" w:w="80"/>
              <w:left w:type="dxa" w:w="110"/>
              <w:bottom w:type="dxa" w:w="80"/>
              <w:right w:type="dxa" w:w="110"/>
            </w:tcMar>
          </w:tcPr>
          <w:p>
            <w:pPr>
              <w:spacing w:after="0" w:line="260"/>
            </w:pPr>
            <w:r>
              <w:rPr>
                <w:b/>
                <w:bCs/>
                <w:sz w:val="19"/>
                <w:szCs w:val="19"/>
              </w:rPr>
              <w:t xml:space="preserve">8</w:t>
            </w:r>
          </w:p>
        </w:tc>
        <w:tc>
          <w:tcPr>
            <w:tcW w:type="dxa" w:w="2232"/>
            <w:tcMar>
              <w:top w:type="dxa" w:w="80"/>
              <w:left w:type="dxa" w:w="110"/>
              <w:bottom w:type="dxa" w:w="80"/>
              <w:right w:type="dxa" w:w="110"/>
            </w:tcMar>
          </w:tcPr>
          <w:p>
            <w:pPr>
              <w:spacing w:after="0" w:line="260"/>
            </w:pPr>
            <w:r>
              <w:rPr>
                <w:b w:val="false"/>
                <w:bCs w:val="false"/>
                <w:sz w:val="19"/>
                <w:szCs w:val="19"/>
              </w:rPr>
              <w:t xml:space="preserve">Landlord / property-management subscription</w:t>
            </w:r>
          </w:p>
        </w:tc>
        <w:tc>
          <w:tcPr>
            <w:tcW w:type="dxa" w:w="1656"/>
            <w:tcMar>
              <w:top w:type="dxa" w:w="80"/>
              <w:left w:type="dxa" w:w="110"/>
              <w:bottom w:type="dxa" w:w="80"/>
              <w:right w:type="dxa" w:w="110"/>
            </w:tcMar>
          </w:tcPr>
          <w:p>
            <w:pPr>
              <w:spacing w:after="0" w:line="260"/>
            </w:pPr>
            <w:r>
              <w:rPr>
                <w:b w:val="false"/>
                <w:bCs w:val="false"/>
                <w:sz w:val="19"/>
                <w:szCs w:val="19"/>
              </w:rPr>
              <w:t xml:space="preserve">Landlord</w:t>
            </w:r>
          </w:p>
        </w:tc>
        <w:tc>
          <w:tcPr>
            <w:tcW w:type="dxa" w:w="720"/>
            <w:tcMar>
              <w:top w:type="dxa" w:w="80"/>
              <w:left w:type="dxa" w:w="110"/>
              <w:bottom w:type="dxa" w:w="80"/>
              <w:right w:type="dxa" w:w="110"/>
            </w:tcMar>
          </w:tcPr>
          <w:p>
            <w:pPr>
              <w:spacing w:after="0" w:line="260"/>
            </w:pPr>
            <w:r>
              <w:rPr>
                <w:b w:val="false"/>
                <w:bCs w:val="false"/>
                <w:sz w:val="19"/>
                <w:szCs w:val="19"/>
              </w:rPr>
              <w:t xml:space="preserve">3</w:t>
            </w:r>
          </w:p>
        </w:tc>
        <w:tc>
          <w:tcPr>
            <w:tcW w:type="dxa" w:w="4363"/>
            <w:tcMar>
              <w:top w:type="dxa" w:w="80"/>
              <w:left w:type="dxa" w:w="110"/>
              <w:bottom w:type="dxa" w:w="80"/>
              <w:right w:type="dxa" w:w="110"/>
            </w:tcMar>
          </w:tcPr>
          <w:p>
            <w:pPr>
              <w:spacing w:after="0" w:line="260"/>
            </w:pPr>
            <w:r>
              <w:rPr>
                <w:b w:val="false"/>
                <w:bCs w:val="false"/>
                <w:sz w:val="19"/>
                <w:szCs w:val="19"/>
              </w:rPr>
              <w:t xml:space="preserve">Annual rent cycle, service charge, renewals, maintenance. Strong retention.</w:t>
            </w:r>
          </w:p>
        </w:tc>
      </w:tr>
      <w:tr>
        <w:tc>
          <w:tcPr>
            <w:tcW w:type="dxa" w:w="461"/>
            <w:tcMar>
              <w:top w:type="dxa" w:w="80"/>
              <w:left w:type="dxa" w:w="110"/>
              <w:bottom w:type="dxa" w:w="80"/>
              <w:right w:type="dxa" w:w="110"/>
            </w:tcMar>
          </w:tcPr>
          <w:p>
            <w:pPr>
              <w:spacing w:after="0" w:line="260"/>
            </w:pPr>
            <w:r>
              <w:rPr>
                <w:b/>
                <w:bCs/>
                <w:sz w:val="19"/>
                <w:szCs w:val="19"/>
              </w:rPr>
              <w:t xml:space="preserve">9</w:t>
            </w:r>
          </w:p>
        </w:tc>
        <w:tc>
          <w:tcPr>
            <w:tcW w:type="dxa" w:w="2232"/>
            <w:tcMar>
              <w:top w:type="dxa" w:w="80"/>
              <w:left w:type="dxa" w:w="110"/>
              <w:bottom w:type="dxa" w:w="80"/>
              <w:right w:type="dxa" w:w="110"/>
            </w:tcMar>
          </w:tcPr>
          <w:p>
            <w:pPr>
              <w:spacing w:after="0" w:line="260"/>
            </w:pPr>
            <w:r>
              <w:rPr>
                <w:b w:val="false"/>
                <w:bCs w:val="false"/>
                <w:sz w:val="19"/>
                <w:szCs w:val="19"/>
              </w:rPr>
              <w:t xml:space="preserve">Diaspora concierge / remote purchase</w:t>
            </w:r>
          </w:p>
        </w:tc>
        <w:tc>
          <w:tcPr>
            <w:tcW w:type="dxa" w:w="1656"/>
            <w:tcMar>
              <w:top w:type="dxa" w:w="80"/>
              <w:left w:type="dxa" w:w="110"/>
              <w:bottom w:type="dxa" w:w="80"/>
              <w:right w:type="dxa" w:w="110"/>
            </w:tcMar>
          </w:tcPr>
          <w:p>
            <w:pPr>
              <w:spacing w:after="0" w:line="260"/>
            </w:pPr>
            <w:r>
              <w:rPr>
                <w:b w:val="false"/>
                <w:bCs w:val="false"/>
                <w:sz w:val="19"/>
                <w:szCs w:val="19"/>
              </w:rPr>
              <w:t xml:space="preserve">Diaspora buyer</w:t>
            </w:r>
          </w:p>
        </w:tc>
        <w:tc>
          <w:tcPr>
            <w:tcW w:type="dxa" w:w="720"/>
            <w:tcMar>
              <w:top w:type="dxa" w:w="80"/>
              <w:left w:type="dxa" w:w="110"/>
              <w:bottom w:type="dxa" w:w="80"/>
              <w:right w:type="dxa" w:w="110"/>
            </w:tcMar>
          </w:tcPr>
          <w:p>
            <w:pPr>
              <w:spacing w:after="0" w:line="260"/>
            </w:pPr>
            <w:r>
              <w:rPr>
                <w:b w:val="false"/>
                <w:bCs w:val="false"/>
                <w:sz w:val="19"/>
                <w:szCs w:val="19"/>
              </w:rPr>
              <w:t xml:space="preserve">3</w:t>
            </w:r>
          </w:p>
        </w:tc>
        <w:tc>
          <w:tcPr>
            <w:tcW w:type="dxa" w:w="4363"/>
            <w:tcMar>
              <w:top w:type="dxa" w:w="80"/>
              <w:left w:type="dxa" w:w="110"/>
              <w:bottom w:type="dxa" w:w="80"/>
              <w:right w:type="dxa" w:w="110"/>
            </w:tcMar>
          </w:tcPr>
          <w:p>
            <w:pPr>
              <w:spacing w:after="0" w:line="260"/>
            </w:pPr>
            <w:r>
              <w:rPr>
                <w:b w:val="false"/>
                <w:bCs w:val="false"/>
                <w:sz w:val="19"/>
                <w:szCs w:val="19"/>
              </w:rPr>
              <w:t xml:space="preserve">Highest-margin, highest-trust bundle.</w:t>
            </w:r>
          </w:p>
        </w:tc>
      </w:tr>
      <w:tr>
        <w:tc>
          <w:tcPr>
            <w:tcW w:type="dxa" w:w="461"/>
            <w:tcMar>
              <w:top w:type="dxa" w:w="80"/>
              <w:left w:type="dxa" w:w="110"/>
              <w:bottom w:type="dxa" w:w="80"/>
              <w:right w:type="dxa" w:w="110"/>
            </w:tcMar>
          </w:tcPr>
          <w:p>
            <w:pPr>
              <w:spacing w:after="0" w:line="260"/>
            </w:pPr>
            <w:r>
              <w:rPr>
                <w:b/>
                <w:bCs/>
                <w:sz w:val="19"/>
                <w:szCs w:val="19"/>
              </w:rPr>
              <w:t xml:space="preserve">10</w:t>
            </w:r>
          </w:p>
        </w:tc>
        <w:tc>
          <w:tcPr>
            <w:tcW w:type="dxa" w:w="2232"/>
            <w:tcMar>
              <w:top w:type="dxa" w:w="80"/>
              <w:left w:type="dxa" w:w="110"/>
              <w:bottom w:type="dxa" w:w="80"/>
              <w:right w:type="dxa" w:w="110"/>
            </w:tcMar>
          </w:tcPr>
          <w:p>
            <w:pPr>
              <w:spacing w:after="0" w:line="260"/>
            </w:pPr>
            <w:r>
              <w:rPr>
                <w:b w:val="false"/>
                <w:bCs w:val="false"/>
                <w:sz w:val="19"/>
                <w:szCs w:val="19"/>
              </w:rPr>
              <w:t xml:space="preserve">Data &amp; valuation products</w:t>
            </w:r>
          </w:p>
        </w:tc>
        <w:tc>
          <w:tcPr>
            <w:tcW w:type="dxa" w:w="1656"/>
            <w:tcMar>
              <w:top w:type="dxa" w:w="80"/>
              <w:left w:type="dxa" w:w="110"/>
              <w:bottom w:type="dxa" w:w="80"/>
              <w:right w:type="dxa" w:w="110"/>
            </w:tcMar>
          </w:tcPr>
          <w:p>
            <w:pPr>
              <w:spacing w:after="0" w:line="260"/>
            </w:pPr>
            <w:r>
              <w:rPr>
                <w:b w:val="false"/>
                <w:bCs w:val="false"/>
                <w:sz w:val="19"/>
                <w:szCs w:val="19"/>
              </w:rPr>
              <w:t xml:space="preserve">Institutions, developers, lenders</w:t>
            </w:r>
          </w:p>
        </w:tc>
        <w:tc>
          <w:tcPr>
            <w:tcW w:type="dxa" w:w="720"/>
            <w:tcMar>
              <w:top w:type="dxa" w:w="80"/>
              <w:left w:type="dxa" w:w="110"/>
              <w:bottom w:type="dxa" w:w="80"/>
              <w:right w:type="dxa" w:w="110"/>
            </w:tcMar>
          </w:tcPr>
          <w:p>
            <w:pPr>
              <w:spacing w:after="0" w:line="260"/>
            </w:pPr>
            <w:r>
              <w:rPr>
                <w:b w:val="false"/>
                <w:bCs w:val="false"/>
                <w:sz w:val="19"/>
                <w:szCs w:val="19"/>
              </w:rPr>
              <w:t xml:space="preserve">4</w:t>
            </w:r>
          </w:p>
        </w:tc>
        <w:tc>
          <w:tcPr>
            <w:tcW w:type="dxa" w:w="4363"/>
            <w:tcMar>
              <w:top w:type="dxa" w:w="80"/>
              <w:left w:type="dxa" w:w="110"/>
              <w:bottom w:type="dxa" w:w="80"/>
              <w:right w:type="dxa" w:w="110"/>
            </w:tcMar>
          </w:tcPr>
          <w:p>
            <w:pPr>
              <w:spacing w:after="0" w:line="260"/>
            </w:pPr>
            <w:r>
              <w:rPr>
                <w:b w:val="false"/>
                <w:bCs w:val="false"/>
                <w:sz w:val="19"/>
                <w:szCs w:val="19"/>
              </w:rPr>
              <w:t xml:space="preserve">Only viable once real settled-price data accumulates.</w:t>
            </w:r>
          </w:p>
        </w:tc>
      </w:tr>
    </w:tbl>
    <w:p>
      <w:pPr>
        <w:spacing w:after="160"/>
      </w:pPr>
      <w:r>
        <w:rPr>
          <w:sz w:val="2"/>
          <w:szCs w:val="2"/>
        </w:rPr>
        <w:t xml:space="preserve"/>
      </w:r>
    </w:p>
    <w:p>
      <w:pPr>
        <w:spacing w:after="140" w:line="280"/>
      </w:pPr>
      <w:r>
        <w:rPr>
          <w:b/>
          <w:bCs/>
          <w:sz w:val="21"/>
          <w:szCs w:val="21"/>
        </w:rPr>
        <w:t xml:space="preserve">Explicitly refused revenue:</w:t>
      </w:r>
    </w:p>
    <w:p>
      <w:pPr>
        <w:pStyle w:val="ListParagraph"/>
        <w:numPr>
          <w:ilvl w:val="0"/>
          <w:numId w:val="2"/>
        </w:numPr>
        <w:spacing w:after="90" w:line="280"/>
      </w:pPr>
      <w:r>
        <w:rPr>
          <w:b/>
          <w:bCs/>
          <w:sz w:val="21"/>
          <w:szCs w:val="21"/>
        </w:rPr>
        <w:t xml:space="preserve">Paid search ranking. </w:t>
      </w:r>
      <w:r>
        <w:rPr>
          <w:sz w:val="21"/>
          <w:szCs w:val="21"/>
        </w:rPr>
        <w:t xml:space="preserve">Ranking is by verification tier and completed-transaction quality only. Selling placement quietly would poison the one asset the company has. If ever monetised, it must be labelled unmistakably.</w:t>
      </w:r>
    </w:p>
    <w:p>
      <w:pPr>
        <w:pStyle w:val="ListParagraph"/>
        <w:numPr>
          <w:ilvl w:val="0"/>
          <w:numId w:val="2"/>
        </w:numPr>
        <w:spacing w:after="90" w:line="280"/>
      </w:pPr>
      <w:r>
        <w:rPr>
          <w:b/>
          <w:bCs/>
          <w:sz w:val="21"/>
          <w:szCs w:val="21"/>
        </w:rPr>
        <w:t xml:space="preserve">Becoming a lender or fund custodian. </w:t>
      </w:r>
      <w:r>
        <w:rPr>
          <w:sz w:val="21"/>
          <w:szCs w:val="21"/>
        </w:rPr>
        <w:t xml:space="preserve">Escrow is a licensed partner integration. Holding funds makes Unö a regulated financial institution — a different company entirely.</w:t>
      </w:r>
    </w:p>
    <w:p>
      <w:pPr>
        <w:pStyle w:val="Heading2"/>
        <w:spacing w:after="120" w:before="260"/>
      </w:pPr>
      <w:r>
        <w:rPr>
          <w:b/>
          <w:bCs/>
          <w:color w:val="1F4E5F"/>
          <w:sz w:val="24"/>
          <w:szCs w:val="24"/>
        </w:rPr>
        <w:t xml:space="preserve">Unit economics sketch</w:t>
      </w:r>
    </w:p>
    <w:p>
      <w:pPr>
        <w:spacing w:after="140" w:line="280"/>
      </w:pPr>
      <w:r>
        <w:rPr>
          <w:b/>
          <w:bCs/>
          <w:sz w:val="21"/>
          <w:szCs w:val="21"/>
        </w:rPr>
        <w:t xml:space="preserve">[ASSUMPTION — placeholder figures, to be replaced with Julie's real cost inputs]</w:t>
      </w:r>
    </w:p>
    <w:p>
      <w:pPr>
        <w:spacing w:after="140" w:line="280"/>
      </w:pPr>
      <w:r>
        <w:rPr>
          <w:sz w:val="21"/>
          <w:szCs w:val="21"/>
        </w:rPr>
        <w:t xml:space="preserve">The shape of the model matters more than the numbers right now:</w:t>
      </w:r>
    </w:p>
    <w:p>
      <w:pPr>
        <w:pStyle w:val="ListParagraph"/>
        <w:numPr>
          <w:ilvl w:val="0"/>
          <w:numId w:val="2"/>
        </w:numPr>
        <w:spacing w:after="90" w:line="280"/>
      </w:pPr>
      <w:r>
        <w:rPr>
          <w:sz w:val="21"/>
          <w:szCs w:val="21"/>
        </w:rPr>
        <w:t xml:space="preserve">Title verification has a </w:t>
      </w:r>
      <w:r>
        <w:rPr>
          <w:b/>
          <w:bCs/>
          <w:sz w:val="21"/>
          <w:szCs w:val="21"/>
        </w:rPr>
        <w:t xml:space="preserve">real marginal cost</w:t>
      </w:r>
      <w:r>
        <w:rPr>
          <w:sz w:val="21"/>
          <w:szCs w:val="21"/>
        </w:rPr>
        <w:t xml:space="preserve"> (solicitor time, registry search fees, sometimes physical registry attendance). Price must cover that cost plus margin, and the price ceiling is set by what a buyer would otherwise pay a lawyer directly — Unö must be cheaper </w:t>
      </w:r>
      <w:r>
        <w:rPr>
          <w:i/>
          <w:iCs/>
          <w:sz w:val="21"/>
          <w:szCs w:val="21"/>
        </w:rPr>
        <w:t xml:space="preserve">and</w:t>
      </w:r>
      <w:r>
        <w:rPr>
          <w:sz w:val="21"/>
          <w:szCs w:val="21"/>
        </w:rPr>
        <w:t xml:space="preserve"> faster than the status quo, or it is just a middleman.</w:t>
      </w:r>
    </w:p>
    <w:p>
      <w:pPr>
        <w:pStyle w:val="ListParagraph"/>
        <w:numPr>
          <w:ilvl w:val="0"/>
          <w:numId w:val="2"/>
        </w:numPr>
        <w:spacing w:after="90" w:line="280"/>
      </w:pPr>
      <w:r>
        <w:rPr>
          <w:sz w:val="21"/>
          <w:szCs w:val="21"/>
        </w:rPr>
        <w:t xml:space="preserve">Inspection reports are similar: surveyor time, travel, report production.</w:t>
      </w:r>
    </w:p>
    <w:p>
      <w:pPr>
        <w:pStyle w:val="ListParagraph"/>
        <w:numPr>
          <w:ilvl w:val="0"/>
          <w:numId w:val="2"/>
        </w:numPr>
        <w:spacing w:after="90" w:line="280"/>
      </w:pPr>
      <w:r>
        <w:rPr>
          <w:sz w:val="21"/>
          <w:szCs w:val="21"/>
        </w:rPr>
        <w:t xml:space="preserve">Agent badges are near-zero marginal cost after the first check — this is the line that scales.</w:t>
      </w:r>
    </w:p>
    <w:p>
      <w:pPr>
        <w:pStyle w:val="ListParagraph"/>
        <w:numPr>
          <w:ilvl w:val="0"/>
          <w:numId w:val="2"/>
        </w:numPr>
        <w:spacing w:after="90" w:line="280"/>
      </w:pPr>
      <w:r>
        <w:rPr>
          <w:sz w:val="21"/>
          <w:szCs w:val="21"/>
        </w:rPr>
        <w:t xml:space="preserve">Escrow (Phase 2) is percentage-based on high-value transactions and is where the business actually becomes large.</w:t>
      </w:r>
    </w:p>
    <w:p>
      <w:pPr>
        <w:spacing w:after="140" w:line="280"/>
      </w:pPr>
      <w:r>
        <w:rPr>
          <w:b/>
          <w:bCs/>
          <w:sz w:val="21"/>
          <w:szCs w:val="21"/>
        </w:rPr>
        <w:t xml:space="preserve">The one number that needs to be true: </w:t>
      </w:r>
      <w:r>
        <w:rPr>
          <w:sz w:val="21"/>
          <w:szCs w:val="21"/>
        </w:rPr>
        <w:t xml:space="preserve">verification must be deliverable at a price a normal Abuja buyer will pay, at a turnaround measured in days, not weeks. If the realistic answer is "three weeks and several hundred thousand naira," the productisation problem is harder than the software problem, and that changes the roadmap. </w:t>
      </w:r>
      <w:r>
        <w:rPr>
          <w:b/>
          <w:bCs/>
          <w:sz w:val="21"/>
          <w:szCs w:val="21"/>
        </w:rPr>
        <w:t xml:space="preserve">This is the single most important question to resolve in the Nigeria meeting.</w:t>
      </w:r>
    </w:p>
    <w:p>
      <w:pPr>
        <w:pStyle w:val="Heading1"/>
        <w:spacing w:after="160" w:before="360"/>
      </w:pPr>
      <w:r>
        <w:rPr>
          <w:b/>
          <w:bCs/>
          <w:color w:val="1F4E5F"/>
          <w:sz w:val="30"/>
          <w:szCs w:val="30"/>
        </w:rPr>
        <w:t xml:space="preserve">6.  Phased plan</w:t>
      </w:r>
    </w:p>
    <w:p>
      <w:pPr>
        <w:pStyle w:val="Heading2"/>
        <w:spacing w:after="120" w:before="260"/>
      </w:pPr>
      <w:r>
        <w:rPr>
          <w:b/>
          <w:bCs/>
          <w:color w:val="1F4E5F"/>
          <w:sz w:val="24"/>
          <w:szCs w:val="24"/>
        </w:rPr>
        <w:t xml:space="preserve">Phase 1 — Trust MVP (current build)</w:t>
      </w:r>
    </w:p>
    <w:p>
      <w:pPr>
        <w:spacing w:after="140" w:line="280"/>
      </w:pPr>
      <w:r>
        <w:rPr>
          <w:b/>
          <w:bCs/>
          <w:sz w:val="21"/>
          <w:szCs w:val="21"/>
        </w:rPr>
        <w:t xml:space="preserve">Goal: </w:t>
      </w:r>
      <w:r>
        <w:rPr>
          <w:sz w:val="21"/>
          <w:szCs w:val="21"/>
        </w:rPr>
        <w:t xml:space="preserve">prove the verified-listing model works, and produce a demo compelling enough to close Julie and recruit a technical co-founder.</w:t>
      </w:r>
    </w:p>
    <w:p>
      <w:pPr>
        <w:spacing w:after="140" w:line="280"/>
      </w:pPr>
      <w:r>
        <w:rPr>
          <w:b/>
          <w:bCs/>
          <w:sz w:val="21"/>
          <w:szCs w:val="21"/>
        </w:rPr>
        <w:t xml:space="preserve">Scope: </w:t>
      </w:r>
      <w:r>
        <w:rPr>
          <w:sz w:val="21"/>
          <w:szCs w:val="21"/>
        </w:rPr>
        <w:t xml:space="preserve">listings + media, landmark search, Trust Panel, transparent fee ledger, in-app chat + WhatsApp, inspection booking, agent/listing verification, admin review panel.</w:t>
      </w:r>
    </w:p>
    <w:p>
      <w:pPr>
        <w:spacing w:after="140" w:line="280"/>
      </w:pPr>
      <w:r>
        <w:rPr>
          <w:b/>
          <w:bCs/>
          <w:sz w:val="21"/>
          <w:szCs w:val="21"/>
        </w:rPr>
        <w:t xml:space="preserve">Not in scope: </w:t>
      </w:r>
      <w:r>
        <w:rPr>
          <w:sz w:val="21"/>
          <w:szCs w:val="21"/>
        </w:rPr>
        <w:t xml:space="preserve">escrow, contracts/e-sign, 3D scanning, multi-currency, valuation, property management.</w:t>
      </w:r>
    </w:p>
    <w:p>
      <w:pPr>
        <w:spacing w:after="140" w:line="280"/>
      </w:pPr>
      <w:r>
        <w:rPr>
          <w:b/>
          <w:bCs/>
          <w:sz w:val="21"/>
          <w:szCs w:val="21"/>
        </w:rPr>
        <w:t xml:space="preserve">No customer money moves through Phase 1.</w:t>
      </w:r>
      <w:r>
        <w:rPr>
          <w:sz w:val="21"/>
          <w:szCs w:val="21"/>
        </w:rPr>
        <w:t xml:space="preserve"> This is deliberate — it keeps the build below the security line and allows AI-assisted development without exposing anyone’s funds.</w:t>
      </w:r>
    </w:p>
    <w:p>
      <w:pPr>
        <w:spacing w:after="140" w:line="280"/>
      </w:pPr>
      <w:r>
        <w:rPr>
          <w:b/>
          <w:bCs/>
          <w:sz w:val="21"/>
          <w:szCs w:val="21"/>
        </w:rPr>
        <w:t xml:space="preserve">Success criteria:</w:t>
      </w:r>
    </w:p>
    <w:p>
      <w:pPr>
        <w:pStyle w:val="ListParagraph"/>
        <w:numPr>
          <w:ilvl w:val="0"/>
          <w:numId w:val="2"/>
        </w:numPr>
        <w:spacing w:after="90" w:line="280"/>
      </w:pPr>
      <w:r>
        <w:rPr>
          <w:sz w:val="21"/>
          <w:szCs w:val="21"/>
        </w:rPr>
        <w:t xml:space="preserve">A working end-to-end demo on a real phone</w:t>
      </w:r>
    </w:p>
    <w:p>
      <w:pPr>
        <w:pStyle w:val="ListParagraph"/>
        <w:numPr>
          <w:ilvl w:val="0"/>
          <w:numId w:val="2"/>
        </w:numPr>
        <w:spacing w:after="90" w:line="280"/>
      </w:pPr>
      <w:r>
        <w:rPr>
          <w:sz w:val="21"/>
          <w:szCs w:val="21"/>
        </w:rPr>
        <w:t xml:space="preserve">A defined, repeatable verification workflow agreed with the anchor firm</w:t>
      </w:r>
    </w:p>
    <w:p>
      <w:pPr>
        <w:pStyle w:val="ListParagraph"/>
        <w:numPr>
          <w:ilvl w:val="0"/>
          <w:numId w:val="2"/>
        </w:numPr>
        <w:spacing w:after="90" w:line="280"/>
      </w:pPr>
      <w:r>
        <w:rPr>
          <w:b/>
          <w:bCs/>
          <w:sz w:val="21"/>
          <w:szCs w:val="21"/>
        </w:rPr>
        <w:t xml:space="preserve">[ASSUMPTION] </w:t>
      </w:r>
      <w:r>
        <w:rPr>
          <w:sz w:val="21"/>
          <w:szCs w:val="21"/>
        </w:rPr>
        <w:t xml:space="preserve">A pilot cohort of roughly 50–100 genuinely verified listings across Abuja and Lagos</w:t>
      </w:r>
    </w:p>
    <w:p>
      <w:pPr>
        <w:pStyle w:val="ListParagraph"/>
        <w:numPr>
          <w:ilvl w:val="0"/>
          <w:numId w:val="2"/>
        </w:numPr>
        <w:spacing w:after="90" w:line="280"/>
      </w:pPr>
      <w:r>
        <w:rPr>
          <w:b/>
          <w:bCs/>
          <w:sz w:val="21"/>
          <w:szCs w:val="21"/>
        </w:rPr>
        <w:t xml:space="preserve">[ASSUMPTION] </w:t>
      </w:r>
      <w:r>
        <w:rPr>
          <w:sz w:val="21"/>
          <w:szCs w:val="21"/>
        </w:rPr>
        <w:t xml:space="preserve">5–10 verified agents, or one anchor firm's full inventory</w:t>
      </w:r>
    </w:p>
    <w:p>
      <w:pPr>
        <w:pStyle w:val="ListParagraph"/>
        <w:numPr>
          <w:ilvl w:val="0"/>
          <w:numId w:val="2"/>
        </w:numPr>
        <w:spacing w:after="90" w:line="280"/>
      </w:pPr>
      <w:r>
        <w:rPr>
          <w:sz w:val="21"/>
          <w:szCs w:val="21"/>
        </w:rPr>
        <w:t xml:space="preserve">A signed or agreed partnership with J.U. Uzor &amp; Associates</w:t>
      </w:r>
    </w:p>
    <w:p>
      <w:pPr>
        <w:spacing w:after="140" w:line="280"/>
      </w:pPr>
      <w:r>
        <w:rPr>
          <w:sz w:val="21"/>
          <w:szCs w:val="21"/>
        </w:rPr>
        <w:t xml:space="preserve">Volume targets are deliberately small. </w:t>
      </w:r>
      <w:r>
        <w:rPr>
          <w:b/>
          <w:bCs/>
          <w:sz w:val="21"/>
          <w:szCs w:val="21"/>
        </w:rPr>
        <w:t xml:space="preserve">Fifty listings that are genuinely verified beat five thousand that are not</w:t>
      </w:r>
      <w:r>
        <w:rPr>
          <w:sz w:val="21"/>
          <w:szCs w:val="21"/>
        </w:rPr>
        <w:t xml:space="preserve"> — the latter makes Unö indistinguishable from PropertyPro.</w:t>
      </w:r>
    </w:p>
    <w:p>
      <w:pPr>
        <w:pStyle w:val="Heading2"/>
        <w:spacing w:after="120" w:before="260"/>
      </w:pPr>
      <w:r>
        <w:rPr>
          <w:b/>
          <w:bCs/>
          <w:color w:val="1F4E5F"/>
          <w:sz w:val="24"/>
          <w:szCs w:val="24"/>
        </w:rPr>
        <w:t xml:space="preserve">Phase 2 — Transaction rail</w:t>
      </w:r>
    </w:p>
    <w:p>
      <w:pPr>
        <w:spacing w:after="140" w:line="280"/>
      </w:pPr>
      <w:r>
        <w:rPr>
          <w:b/>
          <w:bCs/>
          <w:sz w:val="21"/>
          <w:szCs w:val="21"/>
        </w:rPr>
        <w:t xml:space="preserve">Gate: </w:t>
      </w:r>
      <w:r>
        <w:rPr>
          <w:sz w:val="21"/>
          <w:szCs w:val="21"/>
        </w:rPr>
        <w:t xml:space="preserve">an experienced engineer on the team and a completed security review. Non-negotiable.</w:t>
      </w:r>
    </w:p>
    <w:p>
      <w:pPr>
        <w:spacing w:after="140" w:line="280"/>
      </w:pPr>
      <w:r>
        <w:rPr>
          <w:b/>
          <w:bCs/>
          <w:sz w:val="21"/>
          <w:szCs w:val="21"/>
        </w:rPr>
        <w:t xml:space="preserve">Scope: </w:t>
      </w:r>
      <w:r>
        <w:rPr>
          <w:sz w:val="21"/>
          <w:szCs w:val="21"/>
        </w:rPr>
        <w:t xml:space="preserve">licensed escrow partner integration, contract generation + e-sign with tamper-evident audit log, the nine-stage milestone engine, 3D capture, dispute tooling.</w:t>
      </w:r>
    </w:p>
    <w:p>
      <w:pPr>
        <w:spacing w:after="140" w:line="280"/>
      </w:pPr>
      <w:r>
        <w:rPr>
          <w:sz w:val="21"/>
          <w:szCs w:val="21"/>
        </w:rPr>
        <w:t xml:space="preserve">This is where the wedge closes and where revenue becomes significant. It is also where regulatory exposure begins, which is why the gate exists.</w:t>
      </w:r>
    </w:p>
    <w:p>
      <w:pPr>
        <w:pStyle w:val="Heading2"/>
        <w:spacing w:after="120" w:before="260"/>
      </w:pPr>
      <w:r>
        <w:rPr>
          <w:b/>
          <w:bCs/>
          <w:color w:val="1F4E5F"/>
          <w:sz w:val="24"/>
          <w:szCs w:val="24"/>
        </w:rPr>
        <w:t xml:space="preserve">Phase 3 — Scale &amp; diaspora</w:t>
      </w:r>
    </w:p>
    <w:p>
      <w:pPr>
        <w:spacing w:after="140" w:line="280"/>
      </w:pPr>
      <w:r>
        <w:rPr>
          <w:sz w:val="21"/>
          <w:szCs w:val="21"/>
        </w:rPr>
        <w:t xml:space="preserve">Multi-currency wallet and FX-financed purchase, remote inspection, comparable-price model evolving toward a true Unö Estimate, financing hub (installment, cooperative, NHF, rent-to-own), landlord and property-management portal. City expansion beyond Abuja and Lagos — most plausibly Port Harcourt and Ibadan.</w:t>
      </w:r>
    </w:p>
    <w:p>
      <w:pPr>
        <w:pStyle w:val="Heading2"/>
        <w:spacing w:after="120" w:before="260"/>
      </w:pPr>
      <w:r>
        <w:rPr>
          <w:b/>
          <w:bCs/>
          <w:color w:val="1F4E5F"/>
          <w:sz w:val="24"/>
          <w:szCs w:val="24"/>
        </w:rPr>
        <w:t xml:space="preserve">Phase 4 — Infrastructure</w:t>
      </w:r>
    </w:p>
    <w:p>
      <w:pPr>
        <w:spacing w:after="140" w:line="280"/>
      </w:pPr>
      <w:r>
        <w:rPr>
          <w:sz w:val="21"/>
          <w:szCs w:val="21"/>
        </w:rPr>
        <w:t xml:space="preserve">Unö stops being an app and becomes a rail: the verified-title database as a standalone product, valuation data sold to developers and lenders, verification-as-a-service for other platforms. This is the endgame that justifies the patience of phases 1–3, but it only exists if the transaction history from Phase 2 accumulates.</w:t>
      </w:r>
    </w:p>
    <w:p>
      <w:pPr>
        <w:pStyle w:val="Heading1"/>
        <w:spacing w:after="160" w:before="360"/>
      </w:pPr>
      <w:r>
        <w:rPr>
          <w:b/>
          <w:bCs/>
          <w:color w:val="1F4E5F"/>
          <w:sz w:val="30"/>
          <w:szCs w:val="30"/>
        </w:rPr>
        <w:t xml:space="preserve">7.  The partnership play</w:t>
      </w:r>
    </w:p>
    <w:p>
      <w:pPr>
        <w:pStyle w:val="Heading2"/>
        <w:spacing w:after="120" w:before="260"/>
      </w:pPr>
      <w:r>
        <w:rPr>
          <w:b/>
          <w:bCs/>
          <w:color w:val="1F4E5F"/>
          <w:sz w:val="24"/>
          <w:szCs w:val="24"/>
        </w:rPr>
        <w:t xml:space="preserve">Why J.U. Uzor &amp; Associates is the anchor</w:t>
      </w:r>
    </w:p>
    <w:p>
      <w:pPr>
        <w:spacing w:after="140" w:line="280"/>
      </w:pPr>
      <w:r>
        <w:rPr>
          <w:sz w:val="21"/>
          <w:szCs w:val="21"/>
        </w:rPr>
        <w:t xml:space="preserve">Unö's product is legal certainty. Legal certainty is produced by lawyers, not by software. A trust platform without a credible legal backbone is a claim; with one it is a service. Julie's firm — with AEGIS and her legal partners providing the verification backbone — supplies exactly the thing Unö cannot build in code.</w:t>
      </w:r>
    </w:p>
    <w:p>
      <w:pPr>
        <w:spacing w:after="140" w:line="280"/>
      </w:pPr>
      <w:r>
        <w:rPr>
          <w:sz w:val="21"/>
          <w:szCs w:val="21"/>
        </w:rPr>
        <w:t xml:space="preserve">Secondarily, this is a legacy project: reviving a late father’s estate-management firm digitally. That is not a business argument, but it is the reason this partnership is the right one rather than merely a convenient one, and it should be said plainly in the room.</w:t>
      </w:r>
    </w:p>
    <w:p>
      <w:pPr>
        <w:pStyle w:val="Heading2"/>
        <w:spacing w:after="120" w:before="260"/>
      </w:pPr>
      <w:r>
        <w:rPr>
          <w:b/>
          <w:bCs/>
          <w:color w:val="1F4E5F"/>
          <w:sz w:val="24"/>
          <w:szCs w:val="24"/>
        </w:rPr>
        <w:t xml:space="preserve">What each side brings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4680"/>
        <w:gridCol w:w="4680"/>
      </w:tblGrid>
      <w:tr>
        <w:trPr>
          <w:tblHeader/>
        </w:trPr>
        <w:tc>
          <w:tcPr>
            <w:tcW w:type="dxa" w:w="4680"/>
            <w:shd w:fill="E8EEF1" w:color="auto" w:val="clear"/>
            <w:tcMar>
              <w:top w:type="dxa" w:w="80"/>
              <w:left w:type="dxa" w:w="110"/>
              <w:bottom w:type="dxa" w:w="80"/>
              <w:right w:type="dxa" w:w="110"/>
            </w:tcMar>
          </w:tcPr>
          <w:p>
            <w:pPr>
              <w:spacing w:after="0" w:line="260"/>
            </w:pPr>
            <w:r>
              <w:rPr>
                <w:b/>
                <w:bCs/>
                <w:sz w:val="19"/>
                <w:szCs w:val="19"/>
              </w:rPr>
              <w:t xml:space="preserve">Unö brings</w:t>
            </w:r>
          </w:p>
        </w:tc>
        <w:tc>
          <w:tcPr>
            <w:tcW w:type="dxa" w:w="4680"/>
            <w:shd w:fill="E8EEF1" w:color="auto" w:val="clear"/>
            <w:tcMar>
              <w:top w:type="dxa" w:w="80"/>
              <w:left w:type="dxa" w:w="110"/>
              <w:bottom w:type="dxa" w:w="80"/>
              <w:right w:type="dxa" w:w="110"/>
            </w:tcMar>
          </w:tcPr>
          <w:p>
            <w:pPr>
              <w:spacing w:after="0" w:line="260"/>
            </w:pPr>
            <w:r>
              <w:rPr>
                <w:b/>
                <w:bCs/>
                <w:sz w:val="19"/>
                <w:szCs w:val="19"/>
              </w:rPr>
              <w:t xml:space="preserve">J.U. Uzor / AEGIS brings</w:t>
            </w:r>
          </w:p>
        </w:tc>
      </w:tr>
      <w:tr>
        <w:tc>
          <w:tcPr>
            <w:tcW w:type="dxa" w:w="4680"/>
            <w:tcMar>
              <w:top w:type="dxa" w:w="80"/>
              <w:left w:type="dxa" w:w="110"/>
              <w:bottom w:type="dxa" w:w="80"/>
              <w:right w:type="dxa" w:w="110"/>
            </w:tcMar>
          </w:tcPr>
          <w:p>
            <w:pPr>
              <w:spacing w:after="0" w:line="260"/>
            </w:pPr>
            <w:r>
              <w:rPr>
                <w:b w:val="false"/>
                <w:bCs w:val="false"/>
                <w:sz w:val="19"/>
                <w:szCs w:val="19"/>
              </w:rPr>
              <w:t xml:space="preserve">Digital surface, reach, diaspora channel</w:t>
            </w:r>
          </w:p>
        </w:tc>
        <w:tc>
          <w:tcPr>
            <w:tcW w:type="dxa" w:w="4680"/>
            <w:tcMar>
              <w:top w:type="dxa" w:w="80"/>
              <w:left w:type="dxa" w:w="110"/>
              <w:bottom w:type="dxa" w:w="80"/>
              <w:right w:type="dxa" w:w="110"/>
            </w:tcMar>
          </w:tcPr>
          <w:p>
            <w:pPr>
              <w:spacing w:after="0" w:line="260"/>
            </w:pPr>
            <w:r>
              <w:rPr>
                <w:b w:val="false"/>
                <w:bCs w:val="false"/>
                <w:sz w:val="19"/>
                <w:szCs w:val="19"/>
              </w:rPr>
              <w:t xml:space="preserve">Verification capability (registry search, title opinion)</w:t>
            </w:r>
          </w:p>
        </w:tc>
      </w:tr>
      <w:tr>
        <w:tc>
          <w:tcPr>
            <w:tcW w:type="dxa" w:w="4680"/>
            <w:tcMar>
              <w:top w:type="dxa" w:w="80"/>
              <w:left w:type="dxa" w:w="110"/>
              <w:bottom w:type="dxa" w:w="80"/>
              <w:right w:type="dxa" w:w="110"/>
            </w:tcMar>
          </w:tcPr>
          <w:p>
            <w:pPr>
              <w:spacing w:after="0" w:line="260"/>
            </w:pPr>
            <w:r>
              <w:rPr>
                <w:b w:val="false"/>
                <w:bCs w:val="false"/>
                <w:sz w:val="19"/>
                <w:szCs w:val="19"/>
              </w:rPr>
              <w:t xml:space="preserve">Product, engineering, design</w:t>
            </w:r>
          </w:p>
        </w:tc>
        <w:tc>
          <w:tcPr>
            <w:tcW w:type="dxa" w:w="4680"/>
            <w:tcMar>
              <w:top w:type="dxa" w:w="80"/>
              <w:left w:type="dxa" w:w="110"/>
              <w:bottom w:type="dxa" w:w="80"/>
              <w:right w:type="dxa" w:w="110"/>
            </w:tcMar>
          </w:tcPr>
          <w:p>
            <w:pPr>
              <w:spacing w:after="0" w:line="260"/>
            </w:pPr>
            <w:r>
              <w:rPr>
                <w:b w:val="false"/>
                <w:bCs w:val="false"/>
                <w:sz w:val="19"/>
                <w:szCs w:val="19"/>
              </w:rPr>
              <w:t xml:space="preserve">Professional credibility and regulatory standing</w:t>
            </w:r>
          </w:p>
        </w:tc>
      </w:tr>
      <w:tr>
        <w:tc>
          <w:tcPr>
            <w:tcW w:type="dxa" w:w="4680"/>
            <w:tcMar>
              <w:top w:type="dxa" w:w="80"/>
              <w:left w:type="dxa" w:w="110"/>
              <w:bottom w:type="dxa" w:w="80"/>
              <w:right w:type="dxa" w:w="110"/>
            </w:tcMar>
          </w:tcPr>
          <w:p>
            <w:pPr>
              <w:spacing w:after="0" w:line="260"/>
            </w:pPr>
            <w:r>
              <w:rPr>
                <w:b w:val="false"/>
                <w:bCs w:val="false"/>
                <w:sz w:val="19"/>
                <w:szCs w:val="19"/>
              </w:rPr>
              <w:t xml:space="preserve">Distribution and demand generation</w:t>
            </w:r>
          </w:p>
        </w:tc>
        <w:tc>
          <w:tcPr>
            <w:tcW w:type="dxa" w:w="4680"/>
            <w:tcMar>
              <w:top w:type="dxa" w:w="80"/>
              <w:left w:type="dxa" w:w="110"/>
              <w:bottom w:type="dxa" w:w="80"/>
              <w:right w:type="dxa" w:w="110"/>
            </w:tcMar>
          </w:tcPr>
          <w:p>
            <w:pPr>
              <w:spacing w:after="0" w:line="260"/>
            </w:pPr>
            <w:r>
              <w:rPr>
                <w:b w:val="false"/>
                <w:bCs w:val="false"/>
                <w:sz w:val="19"/>
                <w:szCs w:val="19"/>
              </w:rPr>
              <w:t xml:space="preserve">Existing inventory and client relationships</w:t>
            </w:r>
          </w:p>
        </w:tc>
      </w:tr>
      <w:tr>
        <w:tc>
          <w:tcPr>
            <w:tcW w:type="dxa" w:w="4680"/>
            <w:tcMar>
              <w:top w:type="dxa" w:w="80"/>
              <w:left w:type="dxa" w:w="110"/>
              <w:bottom w:type="dxa" w:w="80"/>
              <w:right w:type="dxa" w:w="110"/>
            </w:tcMar>
          </w:tcPr>
          <w:p>
            <w:pPr>
              <w:spacing w:after="0" w:line="260"/>
            </w:pPr>
            <w:r>
              <w:rPr>
                <w:b w:val="false"/>
                <w:bCs w:val="false"/>
                <w:sz w:val="19"/>
                <w:szCs w:val="19"/>
              </w:rPr>
              <w:t xml:space="preserve">Data infrastructure and the title database</w:t>
            </w:r>
          </w:p>
        </w:tc>
        <w:tc>
          <w:tcPr>
            <w:tcW w:type="dxa" w:w="4680"/>
            <w:tcMar>
              <w:top w:type="dxa" w:w="80"/>
              <w:left w:type="dxa" w:w="110"/>
              <w:bottom w:type="dxa" w:w="80"/>
              <w:right w:type="dxa" w:w="110"/>
            </w:tcMar>
          </w:tcPr>
          <w:p>
            <w:pPr>
              <w:spacing w:after="0" w:line="260"/>
            </w:pPr>
            <w:r>
              <w:rPr>
                <w:b w:val="false"/>
                <w:bCs w:val="false"/>
                <w:sz w:val="19"/>
                <w:szCs w:val="19"/>
              </w:rPr>
              <w:t xml:space="preserve">Solicitor and surveyor network</w:t>
            </w:r>
          </w:p>
        </w:tc>
      </w:tr>
      <w:tr>
        <w:tc>
          <w:tcPr>
            <w:tcW w:type="dxa" w:w="4680"/>
            <w:tcMar>
              <w:top w:type="dxa" w:w="80"/>
              <w:left w:type="dxa" w:w="110"/>
              <w:bottom w:type="dxa" w:w="80"/>
              <w:right w:type="dxa" w:w="110"/>
            </w:tcMar>
          </w:tcPr>
          <w:p>
            <w:pPr>
              <w:spacing w:after="0" w:line="260"/>
            </w:pPr>
            <w:r>
              <w:rPr>
                <w:b w:val="false"/>
                <w:bCs w:val="false"/>
                <w:sz w:val="19"/>
                <w:szCs w:val="19"/>
              </w:rPr>
              <w:t xml:space="preserve">Firm-branded profile pages with full inventory</w:t>
            </w:r>
          </w:p>
        </w:tc>
        <w:tc>
          <w:tcPr>
            <w:tcW w:type="dxa" w:w="4680"/>
            <w:tcMar>
              <w:top w:type="dxa" w:w="80"/>
              <w:left w:type="dxa" w:w="110"/>
              <w:bottom w:type="dxa" w:w="80"/>
              <w:right w:type="dxa" w:w="110"/>
            </w:tcMar>
          </w:tcPr>
          <w:p>
            <w:pPr>
              <w:spacing w:after="0" w:line="260"/>
            </w:pPr>
            <w:r>
              <w:rPr>
                <w:b w:val="false"/>
                <w:bCs w:val="false"/>
                <w:sz w:val="19"/>
                <w:szCs w:val="19"/>
              </w:rPr>
              <w:t xml:space="preserve">Domain judgment on what a real title check requires</w:t>
            </w:r>
          </w:p>
        </w:tc>
      </w:tr>
    </w:tbl>
    <w:p>
      <w:pPr>
        <w:spacing w:after="160"/>
      </w:pPr>
      <w:r>
        <w:rPr>
          <w:sz w:val="2"/>
          <w:szCs w:val="2"/>
        </w:rPr>
        <w:t xml:space="preserve"/>
      </w:r>
    </w:p>
    <w:p>
      <w:pPr>
        <w:pStyle w:val="Heading2"/>
        <w:spacing w:after="120" w:before="260"/>
      </w:pPr>
      <w:r>
        <w:rPr>
          <w:b/>
          <w:bCs/>
          <w:color w:val="1F4E5F"/>
          <w:sz w:val="24"/>
          <w:szCs w:val="24"/>
        </w:rPr>
        <w:t xml:space="preserve">The offer</w:t>
      </w:r>
    </w:p>
    <w:p>
      <w:pPr>
        <w:spacing w:after="140" w:line="280"/>
      </w:pPr>
      <w:r>
        <w:rPr>
          <w:b/>
          <w:bCs/>
          <w:sz w:val="21"/>
          <w:szCs w:val="21"/>
        </w:rPr>
        <w:t xml:space="preserve">[ASSUMPTION — commercial terms are yours to set; this frames the shape, not the numbers]</w:t>
      </w:r>
    </w:p>
    <w:p>
      <w:pPr>
        <w:spacing w:after="140" w:line="280"/>
      </w:pPr>
      <w:r>
        <w:rPr>
          <w:sz w:val="21"/>
          <w:szCs w:val="21"/>
        </w:rPr>
        <w:t xml:space="preserve">Anchor partner and equity co-founder entity, meaning:</w:t>
      </w:r>
    </w:p>
    <w:p>
      <w:pPr>
        <w:pStyle w:val="ListParagraph"/>
        <w:numPr>
          <w:ilvl w:val="0"/>
          <w:numId w:val="3"/>
        </w:numPr>
        <w:spacing w:after="90" w:line="280"/>
      </w:pPr>
      <w:r>
        <w:rPr>
          <w:b/>
          <w:bCs/>
          <w:sz w:val="21"/>
          <w:szCs w:val="21"/>
        </w:rPr>
        <w:t xml:space="preserve">Equity in Unö</w:t>
      </w:r>
      <w:r>
        <w:rPr>
          <w:sz w:val="21"/>
          <w:szCs w:val="21"/>
        </w:rPr>
        <w:t xml:space="preserve"> at a level reflecting co-founder status, with vesting tied to delivery of verification capacity.</w:t>
      </w:r>
    </w:p>
    <w:p>
      <w:pPr>
        <w:pStyle w:val="ListParagraph"/>
        <w:numPr>
          <w:ilvl w:val="0"/>
          <w:numId w:val="3"/>
        </w:numPr>
        <w:spacing w:after="90" w:line="280"/>
      </w:pPr>
      <w:r>
        <w:rPr>
          <w:b/>
          <w:bCs/>
          <w:sz w:val="21"/>
          <w:szCs w:val="21"/>
        </w:rPr>
        <w:t xml:space="preserve">Exclusive anchor firm status</w:t>
      </w:r>
      <w:r>
        <w:rPr>
          <w:sz w:val="21"/>
          <w:szCs w:val="21"/>
        </w:rPr>
        <w:t xml:space="preserve"> in the launch cities for a defined term — the first branded firm profile, prominent placement, and reference-partner positioning.</w:t>
      </w:r>
    </w:p>
    <w:p>
      <w:pPr>
        <w:pStyle w:val="ListParagraph"/>
        <w:numPr>
          <w:ilvl w:val="0"/>
          <w:numId w:val="3"/>
        </w:numPr>
        <w:spacing w:after="90" w:line="280"/>
      </w:pPr>
      <w:r>
        <w:rPr>
          <w:b/>
          <w:bCs/>
          <w:sz w:val="21"/>
          <w:szCs w:val="21"/>
        </w:rPr>
        <w:t xml:space="preserve">Verification revenue share</w:t>
      </w:r>
      <w:r>
        <w:rPr>
          <w:sz w:val="21"/>
          <w:szCs w:val="21"/>
        </w:rPr>
        <w:t xml:space="preserve"> on every paid verification the firm executes. This makes the partnership self-funding rather than a favour.</w:t>
      </w:r>
    </w:p>
    <w:p>
      <w:pPr>
        <w:pStyle w:val="ListParagraph"/>
        <w:numPr>
          <w:ilvl w:val="0"/>
          <w:numId w:val="3"/>
        </w:numPr>
        <w:spacing w:after="90" w:line="280"/>
      </w:pPr>
      <w:r>
        <w:rPr>
          <w:b/>
          <w:bCs/>
          <w:sz w:val="21"/>
          <w:szCs w:val="21"/>
        </w:rPr>
        <w:t xml:space="preserve">Named legal authority</w:t>
      </w:r>
      <w:r>
        <w:rPr>
          <w:sz w:val="21"/>
          <w:szCs w:val="21"/>
        </w:rPr>
        <w:t xml:space="preserve"> on the Trust Panel: "Verified by J.U. Uzor &amp; Associates" appearing on listings the firm has cleared. Reputational asset for both sides.</w:t>
      </w:r>
    </w:p>
    <w:p>
      <w:pPr>
        <w:pStyle w:val="ListParagraph"/>
        <w:numPr>
          <w:ilvl w:val="0"/>
          <w:numId w:val="3"/>
        </w:numPr>
        <w:spacing w:after="90" w:line="280"/>
      </w:pPr>
      <w:r>
        <w:rPr>
          <w:b/>
          <w:bCs/>
          <w:sz w:val="21"/>
          <w:szCs w:val="21"/>
        </w:rPr>
        <w:t xml:space="preserve">Input rights on verification standards</w:t>
      </w:r>
      <w:r>
        <w:rPr>
          <w:sz w:val="21"/>
          <w:szCs w:val="21"/>
        </w:rPr>
        <w:t xml:space="preserve"> — the firm defines what a verification actually means, because they carry the professional risk.</w:t>
      </w:r>
    </w:p>
    <w:p>
      <w:pPr>
        <w:pStyle w:val="Heading2"/>
        <w:spacing w:after="120" w:before="260"/>
      </w:pPr>
      <w:r>
        <w:rPr>
          <w:b/>
          <w:bCs/>
          <w:color w:val="1F4E5F"/>
          <w:sz w:val="24"/>
          <w:szCs w:val="24"/>
        </w:rPr>
        <w:t xml:space="preserve">What to ask for in the Nigeria meeting</w:t>
      </w:r>
    </w:p>
    <w:p>
      <w:pPr>
        <w:spacing w:after="140" w:line="280"/>
      </w:pPr>
      <w:r>
        <w:rPr>
          <w:sz w:val="21"/>
          <w:szCs w:val="21"/>
        </w:rPr>
        <w:t xml:space="preserve">Ordered by importance, not by ease:</w:t>
      </w:r>
    </w:p>
    <w:p>
      <w:pPr>
        <w:pStyle w:val="ListParagraph"/>
        <w:numPr>
          <w:ilvl w:val="0"/>
          <w:numId w:val="3"/>
        </w:numPr>
        <w:spacing w:after="90" w:line="280"/>
      </w:pPr>
      <w:r>
        <w:rPr>
          <w:b/>
          <w:bCs/>
          <w:sz w:val="21"/>
          <w:szCs w:val="21"/>
        </w:rPr>
        <w:t xml:space="preserve">What does a real title verification cost and take, in days and naira?</w:t>
      </w:r>
      <w:r>
        <w:rPr>
          <w:sz w:val="21"/>
          <w:szCs w:val="21"/>
        </w:rPr>
        <w:t xml:space="preserve"> Everything downstream depends on this answer.</w:t>
      </w:r>
    </w:p>
    <w:p>
      <w:pPr>
        <w:pStyle w:val="ListParagraph"/>
        <w:numPr>
          <w:ilvl w:val="0"/>
          <w:numId w:val="3"/>
        </w:numPr>
        <w:spacing w:after="90" w:line="280"/>
      </w:pPr>
      <w:r>
        <w:rPr>
          <w:b/>
          <w:bCs/>
          <w:sz w:val="21"/>
          <w:szCs w:val="21"/>
        </w:rPr>
        <w:t xml:space="preserve">What is the minimum documentary standard</w:t>
      </w:r>
      <w:r>
        <w:rPr>
          <w:sz w:val="21"/>
          <w:szCs w:val="21"/>
        </w:rPr>
        <w:t xml:space="preserve"> the firm would stake its name on? This becomes the verification tier definition in the product.</w:t>
      </w:r>
    </w:p>
    <w:p>
      <w:pPr>
        <w:pStyle w:val="ListParagraph"/>
        <w:numPr>
          <w:ilvl w:val="0"/>
          <w:numId w:val="3"/>
        </w:numPr>
        <w:spacing w:after="90" w:line="280"/>
      </w:pPr>
      <w:r>
        <w:rPr>
          <w:b/>
          <w:bCs/>
          <w:sz w:val="21"/>
          <w:szCs w:val="21"/>
        </w:rPr>
        <w:t xml:space="preserve">Would the firm let its inventory be the seed catalogue</w:t>
      </w:r>
      <w:r>
        <w:rPr>
          <w:sz w:val="21"/>
          <w:szCs w:val="21"/>
        </w:rPr>
        <w:t xml:space="preserve"> for launch — the first 50 listings?</w:t>
      </w:r>
    </w:p>
    <w:p>
      <w:pPr>
        <w:pStyle w:val="ListParagraph"/>
        <w:numPr>
          <w:ilvl w:val="0"/>
          <w:numId w:val="3"/>
        </w:numPr>
        <w:spacing w:after="90" w:line="280"/>
      </w:pPr>
      <w:r>
        <w:rPr>
          <w:b/>
          <w:bCs/>
          <w:sz w:val="21"/>
          <w:szCs w:val="21"/>
        </w:rPr>
        <w:t xml:space="preserve">Which partners can cover Lagos</w:t>
      </w:r>
      <w:r>
        <w:rPr>
          <w:sz w:val="21"/>
          <w:szCs w:val="21"/>
        </w:rPr>
        <w:t xml:space="preserve">, given the firm's centre of gravity? Lagos verification is a different registry and a different network.</w:t>
      </w:r>
    </w:p>
    <w:p>
      <w:pPr>
        <w:pStyle w:val="ListParagraph"/>
        <w:numPr>
          <w:ilvl w:val="0"/>
          <w:numId w:val="3"/>
        </w:numPr>
        <w:spacing w:after="90" w:line="280"/>
      </w:pPr>
      <w:r>
        <w:rPr>
          <w:b/>
          <w:bCs/>
          <w:sz w:val="21"/>
          <w:szCs w:val="21"/>
        </w:rPr>
        <w:t xml:space="preserve">Is she in, and on what terms?</w:t>
      </w:r>
    </w:p>
    <w:p>
      <w:pPr>
        <w:pStyle w:val="Heading2"/>
        <w:spacing w:after="120" w:before="260"/>
      </w:pPr>
      <w:r>
        <w:rPr>
          <w:b/>
          <w:bCs/>
          <w:color w:val="1F4E5F"/>
          <w:sz w:val="24"/>
          <w:szCs w:val="24"/>
        </w:rPr>
        <w:t xml:space="preserve">Risk in the partnership itself</w:t>
      </w:r>
    </w:p>
    <w:p>
      <w:pPr>
        <w:spacing w:after="140" w:line="280"/>
      </w:pPr>
      <w:r>
        <w:rPr>
          <w:sz w:val="21"/>
          <w:szCs w:val="21"/>
        </w:rPr>
        <w:t xml:space="preserve">Concentration. If Unö's verification depends entirely on one firm, the firm's capacity is Unö's ceiling and the firm's departure is an existential event. The mitigation is not to hedge against Julie — it is to design the verification workflow as a </w:t>
      </w:r>
      <w:r>
        <w:rPr>
          <w:b/>
          <w:bCs/>
          <w:sz w:val="21"/>
          <w:szCs w:val="21"/>
        </w:rPr>
        <w:t xml:space="preserve">standard other firms can also meet</w:t>
      </w:r>
      <w:r>
        <w:rPr>
          <w:sz w:val="21"/>
          <w:szCs w:val="21"/>
        </w:rPr>
        <w:t xml:space="preserve">, so that firm two and firm three are additive rather than threatening. Say this openly in the meeting; a partner who understands they are the first of several, with anchor privileges, is more comfortable than one who suspects they are being locked in.</w:t>
      </w:r>
    </w:p>
    <w:p>
      <w:pPr>
        <w:pStyle w:val="Heading1"/>
        <w:spacing w:after="160" w:before="360"/>
      </w:pPr>
      <w:r>
        <w:rPr>
          <w:b/>
          <w:bCs/>
          <w:color w:val="1F4E5F"/>
          <w:sz w:val="30"/>
          <w:szCs w:val="30"/>
        </w:rPr>
        <w:t xml:space="preserve">8.  Key risks and mitigations</w:t>
      </w:r>
    </w:p>
    <w:tbl>
      <w:tblPr>
        <w:tblW w:type="dxa" w:w="9432"/>
        <w:tblBorders>
          <w:top w:val="single" w:color="B8C4CC" w:sz="4"/>
          <w:left w:val="single" w:color="B8C4CC" w:sz="4"/>
          <w:bottom w:val="single" w:color="B8C4CC" w:sz="4"/>
          <w:right w:val="single" w:color="B8C4CC" w:sz="4"/>
          <w:insideH w:val="single" w:color="D5DDE2" w:sz="3"/>
          <w:insideV w:val="single" w:color="D5DDE2" w:sz="3"/>
        </w:tblBorders>
      </w:tblPr>
      <w:tblGrid>
        <w:gridCol w:w="461"/>
        <w:gridCol w:w="2880"/>
        <w:gridCol w:w="1123"/>
        <w:gridCol w:w="4968"/>
      </w:tblGrid>
      <w:tr>
        <w:trPr>
          <w:tblHeader/>
        </w:trPr>
        <w:tc>
          <w:tcPr>
            <w:tcW w:type="dxa" w:w="461"/>
            <w:shd w:fill="E8EEF1" w:color="auto" w:val="clear"/>
            <w:tcMar>
              <w:top w:type="dxa" w:w="80"/>
              <w:left w:type="dxa" w:w="110"/>
              <w:bottom w:type="dxa" w:w="80"/>
              <w:right w:type="dxa" w:w="110"/>
            </w:tcMar>
          </w:tcPr>
          <w:p>
            <w:pPr>
              <w:spacing w:after="0" w:line="260"/>
            </w:pPr>
            <w:r>
              <w:rPr>
                <w:b/>
                <w:bCs/>
                <w:sz w:val="19"/>
                <w:szCs w:val="19"/>
              </w:rPr>
              <w:t xml:space="preserve">#</w:t>
            </w:r>
          </w:p>
        </w:tc>
        <w:tc>
          <w:tcPr>
            <w:tcW w:type="dxa" w:w="2880"/>
            <w:shd w:fill="E8EEF1" w:color="auto" w:val="clear"/>
            <w:tcMar>
              <w:top w:type="dxa" w:w="80"/>
              <w:left w:type="dxa" w:w="110"/>
              <w:bottom w:type="dxa" w:w="80"/>
              <w:right w:type="dxa" w:w="110"/>
            </w:tcMar>
          </w:tcPr>
          <w:p>
            <w:pPr>
              <w:spacing w:after="0" w:line="260"/>
            </w:pPr>
            <w:r>
              <w:rPr>
                <w:b/>
                <w:bCs/>
                <w:sz w:val="19"/>
                <w:szCs w:val="19"/>
              </w:rPr>
              <w:t xml:space="preserve">Risk</w:t>
            </w:r>
          </w:p>
        </w:tc>
        <w:tc>
          <w:tcPr>
            <w:tcW w:type="dxa" w:w="1123"/>
            <w:shd w:fill="E8EEF1" w:color="auto" w:val="clear"/>
            <w:tcMar>
              <w:top w:type="dxa" w:w="80"/>
              <w:left w:type="dxa" w:w="110"/>
              <w:bottom w:type="dxa" w:w="80"/>
              <w:right w:type="dxa" w:w="110"/>
            </w:tcMar>
          </w:tcPr>
          <w:p>
            <w:pPr>
              <w:spacing w:after="0" w:line="260"/>
            </w:pPr>
            <w:r>
              <w:rPr>
                <w:b/>
                <w:bCs/>
                <w:sz w:val="19"/>
                <w:szCs w:val="19"/>
              </w:rPr>
              <w:t xml:space="preserve">Severity</w:t>
            </w:r>
          </w:p>
        </w:tc>
        <w:tc>
          <w:tcPr>
            <w:tcW w:type="dxa" w:w="4968"/>
            <w:shd w:fill="E8EEF1" w:color="auto" w:val="clear"/>
            <w:tcMar>
              <w:top w:type="dxa" w:w="80"/>
              <w:left w:type="dxa" w:w="110"/>
              <w:bottom w:type="dxa" w:w="80"/>
              <w:right w:type="dxa" w:w="110"/>
            </w:tcMar>
          </w:tcPr>
          <w:p>
            <w:pPr>
              <w:spacing w:after="0" w:line="260"/>
            </w:pPr>
            <w:r>
              <w:rPr>
                <w:b/>
                <w:bCs/>
                <w:sz w:val="19"/>
                <w:szCs w:val="19"/>
              </w:rPr>
              <w:t xml:space="preserve">Mitigation</w:t>
            </w:r>
          </w:p>
        </w:tc>
      </w:tr>
      <w:tr>
        <w:tc>
          <w:tcPr>
            <w:tcW w:type="dxa" w:w="461"/>
            <w:tcMar>
              <w:top w:type="dxa" w:w="80"/>
              <w:left w:type="dxa" w:w="110"/>
              <w:bottom w:type="dxa" w:w="80"/>
              <w:right w:type="dxa" w:w="110"/>
            </w:tcMar>
          </w:tcPr>
          <w:p>
            <w:pPr>
              <w:spacing w:after="0" w:line="260"/>
            </w:pPr>
            <w:r>
              <w:rPr>
                <w:b/>
                <w:bCs/>
                <w:sz w:val="19"/>
                <w:szCs w:val="19"/>
              </w:rPr>
              <w:t xml:space="preserve">1</w:t>
            </w:r>
          </w:p>
        </w:tc>
        <w:tc>
          <w:tcPr>
            <w:tcW w:type="dxa" w:w="2880"/>
            <w:tcMar>
              <w:top w:type="dxa" w:w="80"/>
              <w:left w:type="dxa" w:w="110"/>
              <w:bottom w:type="dxa" w:w="80"/>
              <w:right w:type="dxa" w:w="110"/>
            </w:tcMar>
          </w:tcPr>
          <w:p>
            <w:pPr>
              <w:spacing w:after="0" w:line="260"/>
            </w:pPr>
            <w:r>
              <w:rPr>
                <w:b w:val="false"/>
                <w:bCs w:val="false"/>
                <w:sz w:val="19"/>
                <w:szCs w:val="19"/>
              </w:rPr>
              <w:t xml:space="preserve">Verification does not scale. Human legal work is the bottleneck; demand outruns solicitor capacity.</w:t>
            </w:r>
          </w:p>
        </w:tc>
        <w:tc>
          <w:tcPr>
            <w:tcW w:type="dxa" w:w="1123"/>
            <w:tcMar>
              <w:top w:type="dxa" w:w="80"/>
              <w:left w:type="dxa" w:w="110"/>
              <w:bottom w:type="dxa" w:w="80"/>
              <w:right w:type="dxa" w:w="110"/>
            </w:tcMar>
          </w:tcPr>
          <w:p>
            <w:pPr>
              <w:spacing w:after="0" w:line="260"/>
            </w:pPr>
            <w:r>
              <w:rPr>
                <w:b w:val="false"/>
                <w:bCs w:val="false"/>
                <w:sz w:val="19"/>
                <w:szCs w:val="19"/>
              </w:rPr>
              <w:t xml:space="preserve">High</w:t>
            </w:r>
          </w:p>
        </w:tc>
        <w:tc>
          <w:tcPr>
            <w:tcW w:type="dxa" w:w="4968"/>
            <w:tcMar>
              <w:top w:type="dxa" w:w="80"/>
              <w:left w:type="dxa" w:w="110"/>
              <w:bottom w:type="dxa" w:w="80"/>
              <w:right w:type="dxa" w:w="110"/>
            </w:tcMar>
          </w:tcPr>
          <w:p>
            <w:pPr>
              <w:spacing w:after="0" w:line="260"/>
            </w:pPr>
            <w:r>
              <w:rPr>
                <w:b w:val="false"/>
                <w:bCs w:val="false"/>
                <w:sz w:val="19"/>
                <w:szCs w:val="19"/>
              </w:rPr>
              <w:t xml:space="preserve">Tiered verification (document check → registry check → full title opinion) so not every listing needs the deepest tier. Cap Phase 1 listing volume deliberately. Build the workflow as a standard multiple firms can execute.</w:t>
            </w:r>
          </w:p>
        </w:tc>
      </w:tr>
      <w:tr>
        <w:tc>
          <w:tcPr>
            <w:tcW w:type="dxa" w:w="461"/>
            <w:tcMar>
              <w:top w:type="dxa" w:w="80"/>
              <w:left w:type="dxa" w:w="110"/>
              <w:bottom w:type="dxa" w:w="80"/>
              <w:right w:type="dxa" w:w="110"/>
            </w:tcMar>
          </w:tcPr>
          <w:p>
            <w:pPr>
              <w:spacing w:after="0" w:line="260"/>
            </w:pPr>
            <w:r>
              <w:rPr>
                <w:b/>
                <w:bCs/>
                <w:sz w:val="19"/>
                <w:szCs w:val="19"/>
              </w:rPr>
              <w:t xml:space="preserve">2</w:t>
            </w:r>
          </w:p>
        </w:tc>
        <w:tc>
          <w:tcPr>
            <w:tcW w:type="dxa" w:w="2880"/>
            <w:tcMar>
              <w:top w:type="dxa" w:w="80"/>
              <w:left w:type="dxa" w:w="110"/>
              <w:bottom w:type="dxa" w:w="80"/>
              <w:right w:type="dxa" w:w="110"/>
            </w:tcMar>
          </w:tcPr>
          <w:p>
            <w:pPr>
              <w:spacing w:after="0" w:line="260"/>
            </w:pPr>
            <w:r>
              <w:rPr>
                <w:b w:val="false"/>
                <w:bCs w:val="false"/>
                <w:sz w:val="19"/>
                <w:szCs w:val="19"/>
              </w:rPr>
              <w:t xml:space="preserve">Cold-start inventory. No listings means no users means no listings.</w:t>
            </w:r>
          </w:p>
        </w:tc>
        <w:tc>
          <w:tcPr>
            <w:tcW w:type="dxa" w:w="1123"/>
            <w:tcMar>
              <w:top w:type="dxa" w:w="80"/>
              <w:left w:type="dxa" w:w="110"/>
              <w:bottom w:type="dxa" w:w="80"/>
              <w:right w:type="dxa" w:w="110"/>
            </w:tcMar>
          </w:tcPr>
          <w:p>
            <w:pPr>
              <w:spacing w:after="0" w:line="260"/>
            </w:pPr>
            <w:r>
              <w:rPr>
                <w:b w:val="false"/>
                <w:bCs w:val="false"/>
                <w:sz w:val="19"/>
                <w:szCs w:val="19"/>
              </w:rPr>
              <w:t xml:space="preserve">High</w:t>
            </w:r>
          </w:p>
        </w:tc>
        <w:tc>
          <w:tcPr>
            <w:tcW w:type="dxa" w:w="4968"/>
            <w:tcMar>
              <w:top w:type="dxa" w:w="80"/>
              <w:left w:type="dxa" w:w="110"/>
              <w:bottom w:type="dxa" w:w="80"/>
              <w:right w:type="dxa" w:w="110"/>
            </w:tcMar>
          </w:tcPr>
          <w:p>
            <w:pPr>
              <w:spacing w:after="0" w:line="260"/>
            </w:pPr>
            <w:r>
              <w:rPr>
                <w:b w:val="false"/>
                <w:bCs w:val="false"/>
                <w:sz w:val="19"/>
                <w:szCs w:val="19"/>
              </w:rPr>
              <w:t xml:space="preserve">Seed with the anchor firm's inventory. Free listings remove the acquisition barrier. Target firms, not individual agents. Estate and community pages capture organic search from day one.</w:t>
            </w:r>
          </w:p>
        </w:tc>
      </w:tr>
      <w:tr>
        <w:tc>
          <w:tcPr>
            <w:tcW w:type="dxa" w:w="461"/>
            <w:tcMar>
              <w:top w:type="dxa" w:w="80"/>
              <w:left w:type="dxa" w:w="110"/>
              <w:bottom w:type="dxa" w:w="80"/>
              <w:right w:type="dxa" w:w="110"/>
            </w:tcMar>
          </w:tcPr>
          <w:p>
            <w:pPr>
              <w:spacing w:after="0" w:line="260"/>
            </w:pPr>
            <w:r>
              <w:rPr>
                <w:b/>
                <w:bCs/>
                <w:sz w:val="19"/>
                <w:szCs w:val="19"/>
              </w:rPr>
              <w:t xml:space="preserve">3</w:t>
            </w:r>
          </w:p>
        </w:tc>
        <w:tc>
          <w:tcPr>
            <w:tcW w:type="dxa" w:w="2880"/>
            <w:tcMar>
              <w:top w:type="dxa" w:w="80"/>
              <w:left w:type="dxa" w:w="110"/>
              <w:bottom w:type="dxa" w:w="80"/>
              <w:right w:type="dxa" w:w="110"/>
            </w:tcMar>
          </w:tcPr>
          <w:p>
            <w:pPr>
              <w:spacing w:after="0" w:line="260"/>
            </w:pPr>
            <w:r>
              <w:rPr>
                <w:b w:val="false"/>
                <w:bCs w:val="false"/>
                <w:sz w:val="19"/>
                <w:szCs w:val="19"/>
              </w:rPr>
              <w:t xml:space="preserve">Disintermediation. Agent and buyer meet on Unö, transact on WhatsApp, Unö earns nothing.</w:t>
            </w:r>
          </w:p>
        </w:tc>
        <w:tc>
          <w:tcPr>
            <w:tcW w:type="dxa" w:w="1123"/>
            <w:tcMar>
              <w:top w:type="dxa" w:w="80"/>
              <w:left w:type="dxa" w:w="110"/>
              <w:bottom w:type="dxa" w:w="80"/>
              <w:right w:type="dxa" w:w="110"/>
            </w:tcMar>
          </w:tcPr>
          <w:p>
            <w:pPr>
              <w:spacing w:after="0" w:line="260"/>
            </w:pPr>
            <w:r>
              <w:rPr>
                <w:b w:val="false"/>
                <w:bCs w:val="false"/>
                <w:sz w:val="19"/>
                <w:szCs w:val="19"/>
              </w:rPr>
              <w:t xml:space="preserve">High</w:t>
            </w:r>
          </w:p>
        </w:tc>
        <w:tc>
          <w:tcPr>
            <w:tcW w:type="dxa" w:w="4968"/>
            <w:tcMar>
              <w:top w:type="dxa" w:w="80"/>
              <w:left w:type="dxa" w:w="110"/>
              <w:bottom w:type="dxa" w:w="80"/>
              <w:right w:type="dxa" w:w="110"/>
            </w:tcMar>
          </w:tcPr>
          <w:p>
            <w:pPr>
              <w:spacing w:after="0" w:line="260"/>
            </w:pPr>
            <w:r>
              <w:rPr>
                <w:b w:val="false"/>
                <w:bCs w:val="false"/>
                <w:sz w:val="19"/>
                <w:szCs w:val="19"/>
              </w:rPr>
              <w:t xml:space="preserve">Phase 1 accepts this — the product is not monetising the transaction yet. Phase 2 closes it structurally: money, contract, and title move together through gated milestones, so leaving costs all three protections. Agent CRM-lite makes the platform the agent’s daily workflow. Never rely on policy enforcement.</w:t>
            </w:r>
          </w:p>
        </w:tc>
      </w:tr>
      <w:tr>
        <w:tc>
          <w:tcPr>
            <w:tcW w:type="dxa" w:w="461"/>
            <w:tcMar>
              <w:top w:type="dxa" w:w="80"/>
              <w:left w:type="dxa" w:w="110"/>
              <w:bottom w:type="dxa" w:w="80"/>
              <w:right w:type="dxa" w:w="110"/>
            </w:tcMar>
          </w:tcPr>
          <w:p>
            <w:pPr>
              <w:spacing w:after="0" w:line="260"/>
            </w:pPr>
            <w:r>
              <w:rPr>
                <w:b/>
                <w:bCs/>
                <w:sz w:val="19"/>
                <w:szCs w:val="19"/>
              </w:rPr>
              <w:t xml:space="preserve">4</w:t>
            </w:r>
          </w:p>
        </w:tc>
        <w:tc>
          <w:tcPr>
            <w:tcW w:type="dxa" w:w="2880"/>
            <w:tcMar>
              <w:top w:type="dxa" w:w="80"/>
              <w:left w:type="dxa" w:w="110"/>
              <w:bottom w:type="dxa" w:w="80"/>
              <w:right w:type="dxa" w:w="110"/>
            </w:tcMar>
          </w:tcPr>
          <w:p>
            <w:pPr>
              <w:spacing w:after="0" w:line="260"/>
            </w:pPr>
            <w:r>
              <w:rPr>
                <w:b w:val="false"/>
                <w:bCs w:val="false"/>
                <w:sz w:val="19"/>
                <w:szCs w:val="19"/>
              </w:rPr>
              <w:t xml:space="preserve">A verified listing turns out to be fraudulent.</w:t>
            </w:r>
          </w:p>
        </w:tc>
        <w:tc>
          <w:tcPr>
            <w:tcW w:type="dxa" w:w="1123"/>
            <w:tcMar>
              <w:top w:type="dxa" w:w="80"/>
              <w:left w:type="dxa" w:w="110"/>
              <w:bottom w:type="dxa" w:w="80"/>
              <w:right w:type="dxa" w:w="110"/>
            </w:tcMar>
          </w:tcPr>
          <w:p>
            <w:pPr>
              <w:spacing w:after="0" w:line="260"/>
            </w:pPr>
            <w:r>
              <w:rPr>
                <w:b w:val="false"/>
                <w:bCs w:val="false"/>
                <w:sz w:val="19"/>
                <w:szCs w:val="19"/>
              </w:rPr>
              <w:t xml:space="preserve">Existential</w:t>
            </w:r>
          </w:p>
        </w:tc>
        <w:tc>
          <w:tcPr>
            <w:tcW w:type="dxa" w:w="4968"/>
            <w:tcMar>
              <w:top w:type="dxa" w:w="80"/>
              <w:left w:type="dxa" w:w="110"/>
              <w:bottom w:type="dxa" w:w="80"/>
              <w:right w:type="dxa" w:w="110"/>
            </w:tcMar>
          </w:tcPr>
          <w:p>
            <w:pPr>
              <w:spacing w:after="0" w:line="260"/>
            </w:pPr>
            <w:r>
              <w:rPr>
                <w:b w:val="false"/>
                <w:bCs w:val="false"/>
                <w:sz w:val="19"/>
                <w:szCs w:val="19"/>
              </w:rPr>
              <w:t xml:space="preserve">This is the one that kills the company. Requires professional indemnity insurance, clearly published verification scope (what a tier does and does not warrant), conservative tier labelling, and a pre-agreed remediation posture. Never over-claim what a verification means. [ASSUMPTION] Insurance and liability structure to be scoped with Julie.</w:t>
            </w:r>
          </w:p>
        </w:tc>
      </w:tr>
      <w:tr>
        <w:tc>
          <w:tcPr>
            <w:tcW w:type="dxa" w:w="461"/>
            <w:tcMar>
              <w:top w:type="dxa" w:w="80"/>
              <w:left w:type="dxa" w:w="110"/>
              <w:bottom w:type="dxa" w:w="80"/>
              <w:right w:type="dxa" w:w="110"/>
            </w:tcMar>
          </w:tcPr>
          <w:p>
            <w:pPr>
              <w:spacing w:after="0" w:line="260"/>
            </w:pPr>
            <w:r>
              <w:rPr>
                <w:b/>
                <w:bCs/>
                <w:sz w:val="19"/>
                <w:szCs w:val="19"/>
              </w:rPr>
              <w:t xml:space="preserve">5</w:t>
            </w:r>
          </w:p>
        </w:tc>
        <w:tc>
          <w:tcPr>
            <w:tcW w:type="dxa" w:w="2880"/>
            <w:tcMar>
              <w:top w:type="dxa" w:w="80"/>
              <w:left w:type="dxa" w:w="110"/>
              <w:bottom w:type="dxa" w:w="80"/>
              <w:right w:type="dxa" w:w="110"/>
            </w:tcMar>
          </w:tcPr>
          <w:p>
            <w:pPr>
              <w:spacing w:after="0" w:line="260"/>
            </w:pPr>
            <w:r>
              <w:rPr>
                <w:b w:val="false"/>
                <w:bCs w:val="false"/>
                <w:sz w:val="19"/>
                <w:szCs w:val="19"/>
              </w:rPr>
              <w:t xml:space="preserve">Regulatory exposure at Phase 2 — escrow, funds handling, data protection (NDPR), agent licensing.</w:t>
            </w:r>
          </w:p>
        </w:tc>
        <w:tc>
          <w:tcPr>
            <w:tcW w:type="dxa" w:w="1123"/>
            <w:tcMar>
              <w:top w:type="dxa" w:w="80"/>
              <w:left w:type="dxa" w:w="110"/>
              <w:bottom w:type="dxa" w:w="80"/>
              <w:right w:type="dxa" w:w="110"/>
            </w:tcMar>
          </w:tcPr>
          <w:p>
            <w:pPr>
              <w:spacing w:after="0" w:line="260"/>
            </w:pPr>
            <w:r>
              <w:rPr>
                <w:b w:val="false"/>
                <w:bCs w:val="false"/>
                <w:sz w:val="19"/>
                <w:szCs w:val="19"/>
              </w:rPr>
              <w:t xml:space="preserve">High</w:t>
            </w:r>
          </w:p>
        </w:tc>
        <w:tc>
          <w:tcPr>
            <w:tcW w:type="dxa" w:w="4968"/>
            <w:tcMar>
              <w:top w:type="dxa" w:w="80"/>
              <w:left w:type="dxa" w:w="110"/>
              <w:bottom w:type="dxa" w:w="80"/>
              <w:right w:type="dxa" w:w="110"/>
            </w:tcMar>
          </w:tcPr>
          <w:p>
            <w:pPr>
              <w:spacing w:after="0" w:line="260"/>
            </w:pPr>
            <w:r>
              <w:rPr>
                <w:b w:val="false"/>
                <w:bCs w:val="false"/>
                <w:sz w:val="19"/>
                <w:szCs w:val="19"/>
              </w:rPr>
              <w:t xml:space="preserve">Escrow via licensed partner only — never hold funds. Legal review before Phase 2. NDPR compliance designed in, not retrofitted.</w:t>
            </w:r>
          </w:p>
        </w:tc>
      </w:tr>
      <w:tr>
        <w:tc>
          <w:tcPr>
            <w:tcW w:type="dxa" w:w="461"/>
            <w:tcMar>
              <w:top w:type="dxa" w:w="80"/>
              <w:left w:type="dxa" w:w="110"/>
              <w:bottom w:type="dxa" w:w="80"/>
              <w:right w:type="dxa" w:w="110"/>
            </w:tcMar>
          </w:tcPr>
          <w:p>
            <w:pPr>
              <w:spacing w:after="0" w:line="260"/>
            </w:pPr>
            <w:r>
              <w:rPr>
                <w:b/>
                <w:bCs/>
                <w:sz w:val="19"/>
                <w:szCs w:val="19"/>
              </w:rPr>
              <w:t xml:space="preserve">6</w:t>
            </w:r>
          </w:p>
        </w:tc>
        <w:tc>
          <w:tcPr>
            <w:tcW w:type="dxa" w:w="2880"/>
            <w:tcMar>
              <w:top w:type="dxa" w:w="80"/>
              <w:left w:type="dxa" w:w="110"/>
              <w:bottom w:type="dxa" w:w="80"/>
              <w:right w:type="dxa" w:w="110"/>
            </w:tcMar>
          </w:tcPr>
          <w:p>
            <w:pPr>
              <w:spacing w:after="0" w:line="260"/>
            </w:pPr>
            <w:r>
              <w:rPr>
                <w:b w:val="false"/>
                <w:bCs w:val="false"/>
                <w:sz w:val="19"/>
                <w:szCs w:val="19"/>
              </w:rPr>
              <w:t xml:space="preserve">Incumbent copies the trust features.</w:t>
            </w:r>
          </w:p>
        </w:tc>
        <w:tc>
          <w:tcPr>
            <w:tcW w:type="dxa" w:w="1123"/>
            <w:tcMar>
              <w:top w:type="dxa" w:w="80"/>
              <w:left w:type="dxa" w:w="110"/>
              <w:bottom w:type="dxa" w:w="80"/>
              <w:right w:type="dxa" w:w="110"/>
            </w:tcMar>
          </w:tcPr>
          <w:p>
            <w:pPr>
              <w:spacing w:after="0" w:line="260"/>
            </w:pPr>
            <w:r>
              <w:rPr>
                <w:b w:val="false"/>
                <w:bCs w:val="false"/>
                <w:sz w:val="19"/>
                <w:szCs w:val="19"/>
              </w:rPr>
              <w:t xml:space="preserve">Medium</w:t>
            </w:r>
          </w:p>
        </w:tc>
        <w:tc>
          <w:tcPr>
            <w:tcW w:type="dxa" w:w="4968"/>
            <w:tcMar>
              <w:top w:type="dxa" w:w="80"/>
              <w:left w:type="dxa" w:w="110"/>
              <w:bottom w:type="dxa" w:w="80"/>
              <w:right w:type="dxa" w:w="110"/>
            </w:tcMar>
          </w:tcPr>
          <w:p>
            <w:pPr>
              <w:spacing w:after="0" w:line="260"/>
            </w:pPr>
            <w:r>
              <w:rPr>
                <w:b w:val="false"/>
                <w:bCs w:val="false"/>
                <w:sz w:val="19"/>
                <w:szCs w:val="19"/>
              </w:rPr>
              <w:t xml:space="preserve">They can copy the badge; they cannot copy the legal network or absorb the revenue hit of rejecting listings. Speed and depth of the verified-title database are the defence.</w:t>
            </w:r>
          </w:p>
        </w:tc>
      </w:tr>
      <w:tr>
        <w:tc>
          <w:tcPr>
            <w:tcW w:type="dxa" w:w="461"/>
            <w:tcMar>
              <w:top w:type="dxa" w:w="80"/>
              <w:left w:type="dxa" w:w="110"/>
              <w:bottom w:type="dxa" w:w="80"/>
              <w:right w:type="dxa" w:w="110"/>
            </w:tcMar>
          </w:tcPr>
          <w:p>
            <w:pPr>
              <w:spacing w:after="0" w:line="260"/>
            </w:pPr>
            <w:r>
              <w:rPr>
                <w:b/>
                <w:bCs/>
                <w:sz w:val="19"/>
                <w:szCs w:val="19"/>
              </w:rPr>
              <w:t xml:space="preserve">7</w:t>
            </w:r>
          </w:p>
        </w:tc>
        <w:tc>
          <w:tcPr>
            <w:tcW w:type="dxa" w:w="2880"/>
            <w:tcMar>
              <w:top w:type="dxa" w:w="80"/>
              <w:left w:type="dxa" w:w="110"/>
              <w:bottom w:type="dxa" w:w="80"/>
              <w:right w:type="dxa" w:w="110"/>
            </w:tcMar>
          </w:tcPr>
          <w:p>
            <w:pPr>
              <w:spacing w:after="0" w:line="260"/>
            </w:pPr>
            <w:r>
              <w:rPr>
                <w:b w:val="false"/>
                <w:bCs w:val="false"/>
                <w:sz w:val="19"/>
                <w:szCs w:val="19"/>
              </w:rPr>
              <w:t xml:space="preserve">Solo non-technical founder.</w:t>
            </w:r>
          </w:p>
        </w:tc>
        <w:tc>
          <w:tcPr>
            <w:tcW w:type="dxa" w:w="1123"/>
            <w:tcMar>
              <w:top w:type="dxa" w:w="80"/>
              <w:left w:type="dxa" w:w="110"/>
              <w:bottom w:type="dxa" w:w="80"/>
              <w:right w:type="dxa" w:w="110"/>
            </w:tcMar>
          </w:tcPr>
          <w:p>
            <w:pPr>
              <w:spacing w:after="0" w:line="260"/>
            </w:pPr>
            <w:r>
              <w:rPr>
                <w:b w:val="false"/>
                <w:bCs w:val="false"/>
                <w:sz w:val="19"/>
                <w:szCs w:val="19"/>
              </w:rPr>
              <w:t xml:space="preserve">High</w:t>
            </w:r>
          </w:p>
        </w:tc>
        <w:tc>
          <w:tcPr>
            <w:tcW w:type="dxa" w:w="4968"/>
            <w:tcMar>
              <w:top w:type="dxa" w:w="80"/>
              <w:left w:type="dxa" w:w="110"/>
              <w:bottom w:type="dxa" w:w="80"/>
              <w:right w:type="dxa" w:w="110"/>
            </w:tcMar>
          </w:tcPr>
          <w:p>
            <w:pPr>
              <w:spacing w:after="0" w:line="260"/>
            </w:pPr>
            <w:r>
              <w:rPr>
                <w:b w:val="false"/>
                <w:bCs w:val="false"/>
                <w:sz w:val="19"/>
                <w:szCs w:val="19"/>
              </w:rPr>
              <w:t xml:space="preserve">Phase 1 is explicitly built to be shown — its job is to recruit a technical co-founder. The security line prevents solo work on anything money-touching.</w:t>
            </w:r>
          </w:p>
        </w:tc>
      </w:tr>
      <w:tr>
        <w:tc>
          <w:tcPr>
            <w:tcW w:type="dxa" w:w="461"/>
            <w:tcMar>
              <w:top w:type="dxa" w:w="80"/>
              <w:left w:type="dxa" w:w="110"/>
              <w:bottom w:type="dxa" w:w="80"/>
              <w:right w:type="dxa" w:w="110"/>
            </w:tcMar>
          </w:tcPr>
          <w:p>
            <w:pPr>
              <w:spacing w:after="0" w:line="260"/>
            </w:pPr>
            <w:r>
              <w:rPr>
                <w:b/>
                <w:bCs/>
                <w:sz w:val="19"/>
                <w:szCs w:val="19"/>
              </w:rPr>
              <w:t xml:space="preserve">8</w:t>
            </w:r>
          </w:p>
        </w:tc>
        <w:tc>
          <w:tcPr>
            <w:tcW w:type="dxa" w:w="2880"/>
            <w:tcMar>
              <w:top w:type="dxa" w:w="80"/>
              <w:left w:type="dxa" w:w="110"/>
              <w:bottom w:type="dxa" w:w="80"/>
              <w:right w:type="dxa" w:w="110"/>
            </w:tcMar>
          </w:tcPr>
          <w:p>
            <w:pPr>
              <w:spacing w:after="0" w:line="260"/>
            </w:pPr>
            <w:r>
              <w:rPr>
                <w:b w:val="false"/>
                <w:bCs w:val="false"/>
                <w:sz w:val="19"/>
                <w:szCs w:val="19"/>
              </w:rPr>
              <w:t xml:space="preserve">Data cost and device constraints suppress usage.</w:t>
            </w:r>
          </w:p>
        </w:tc>
        <w:tc>
          <w:tcPr>
            <w:tcW w:type="dxa" w:w="1123"/>
            <w:tcMar>
              <w:top w:type="dxa" w:w="80"/>
              <w:left w:type="dxa" w:w="110"/>
              <w:bottom w:type="dxa" w:w="80"/>
              <w:right w:type="dxa" w:w="110"/>
            </w:tcMar>
          </w:tcPr>
          <w:p>
            <w:pPr>
              <w:spacing w:after="0" w:line="260"/>
            </w:pPr>
            <w:r>
              <w:rPr>
                <w:b w:val="false"/>
                <w:bCs w:val="false"/>
                <w:sz w:val="19"/>
                <w:szCs w:val="19"/>
              </w:rPr>
              <w:t xml:space="preserve">Medium</w:t>
            </w:r>
          </w:p>
        </w:tc>
        <w:tc>
          <w:tcPr>
            <w:tcW w:type="dxa" w:w="4968"/>
            <w:tcMar>
              <w:top w:type="dxa" w:w="80"/>
              <w:left w:type="dxa" w:w="110"/>
              <w:bottom w:type="dxa" w:w="80"/>
              <w:right w:type="dxa" w:w="110"/>
            </w:tcMar>
          </w:tcPr>
          <w:p>
            <w:pPr>
              <w:spacing w:after="0" w:line="260"/>
            </w:pPr>
            <w:r>
              <w:rPr>
                <w:b w:val="false"/>
                <w:bCs w:val="false"/>
                <w:sz w:val="19"/>
                <w:szCs w:val="19"/>
              </w:rPr>
              <w:t xml:space="preserve">Low-data mode is a first-class requirement, not an optimisation: multi-size WebP/AVIF, lazy galleries, aggressive edge caching, offline saved listings, WhatsApp for notifications rather than data-hungry in-app polling.</w:t>
            </w:r>
          </w:p>
        </w:tc>
      </w:tr>
      <w:tr>
        <w:tc>
          <w:tcPr>
            <w:tcW w:type="dxa" w:w="461"/>
            <w:tcMar>
              <w:top w:type="dxa" w:w="80"/>
              <w:left w:type="dxa" w:w="110"/>
              <w:bottom w:type="dxa" w:w="80"/>
              <w:right w:type="dxa" w:w="110"/>
            </w:tcMar>
          </w:tcPr>
          <w:p>
            <w:pPr>
              <w:spacing w:after="0" w:line="260"/>
            </w:pPr>
            <w:r>
              <w:rPr>
                <w:b/>
                <w:bCs/>
                <w:sz w:val="19"/>
                <w:szCs w:val="19"/>
              </w:rPr>
              <w:t xml:space="preserve">9</w:t>
            </w:r>
          </w:p>
        </w:tc>
        <w:tc>
          <w:tcPr>
            <w:tcW w:type="dxa" w:w="2880"/>
            <w:tcMar>
              <w:top w:type="dxa" w:w="80"/>
              <w:left w:type="dxa" w:w="110"/>
              <w:bottom w:type="dxa" w:w="80"/>
              <w:right w:type="dxa" w:w="110"/>
            </w:tcMar>
          </w:tcPr>
          <w:p>
            <w:pPr>
              <w:spacing w:after="0" w:line="260"/>
            </w:pPr>
            <w:r>
              <w:rPr>
                <w:b w:val="false"/>
                <w:bCs w:val="false"/>
                <w:sz w:val="19"/>
                <w:szCs w:val="19"/>
              </w:rPr>
              <w:t xml:space="preserve">FX and macro volatility affecting pricing, diaspora flows, and cost base.</w:t>
            </w:r>
          </w:p>
        </w:tc>
        <w:tc>
          <w:tcPr>
            <w:tcW w:type="dxa" w:w="1123"/>
            <w:tcMar>
              <w:top w:type="dxa" w:w="80"/>
              <w:left w:type="dxa" w:w="110"/>
              <w:bottom w:type="dxa" w:w="80"/>
              <w:right w:type="dxa" w:w="110"/>
            </w:tcMar>
          </w:tcPr>
          <w:p>
            <w:pPr>
              <w:spacing w:after="0" w:line="260"/>
            </w:pPr>
            <w:r>
              <w:rPr>
                <w:b w:val="false"/>
                <w:bCs w:val="false"/>
                <w:sz w:val="19"/>
                <w:szCs w:val="19"/>
              </w:rPr>
              <w:t xml:space="preserve">Medium</w:t>
            </w:r>
          </w:p>
        </w:tc>
        <w:tc>
          <w:tcPr>
            <w:tcW w:type="dxa" w:w="4968"/>
            <w:tcMar>
              <w:top w:type="dxa" w:w="80"/>
              <w:left w:type="dxa" w:w="110"/>
              <w:bottom w:type="dxa" w:w="80"/>
              <w:right w:type="dxa" w:w="110"/>
            </w:tcMar>
          </w:tcPr>
          <w:p>
            <w:pPr>
              <w:spacing w:after="0" w:line="260"/>
            </w:pPr>
            <w:r>
              <w:rPr>
                <w:b w:val="false"/>
                <w:bCs w:val="false"/>
                <w:sz w:val="19"/>
                <w:szCs w:val="19"/>
              </w:rPr>
              <w:t xml:space="preserve">Naira-denominated core; diaspora FX handling deferred to Phase 3 where it can be designed properly rather than improvised.</w:t>
            </w:r>
          </w:p>
        </w:tc>
      </w:tr>
      <w:tr>
        <w:tc>
          <w:tcPr>
            <w:tcW w:type="dxa" w:w="461"/>
            <w:tcMar>
              <w:top w:type="dxa" w:w="80"/>
              <w:left w:type="dxa" w:w="110"/>
              <w:bottom w:type="dxa" w:w="80"/>
              <w:right w:type="dxa" w:w="110"/>
            </w:tcMar>
          </w:tcPr>
          <w:p>
            <w:pPr>
              <w:spacing w:after="0" w:line="260"/>
            </w:pPr>
            <w:r>
              <w:rPr>
                <w:b/>
                <w:bCs/>
                <w:sz w:val="19"/>
                <w:szCs w:val="19"/>
              </w:rPr>
              <w:t xml:space="preserve">10</w:t>
            </w:r>
          </w:p>
        </w:tc>
        <w:tc>
          <w:tcPr>
            <w:tcW w:type="dxa" w:w="2880"/>
            <w:tcMar>
              <w:top w:type="dxa" w:w="80"/>
              <w:left w:type="dxa" w:w="110"/>
              <w:bottom w:type="dxa" w:w="80"/>
              <w:right w:type="dxa" w:w="110"/>
            </w:tcMar>
          </w:tcPr>
          <w:p>
            <w:pPr>
              <w:spacing w:after="0" w:line="260"/>
            </w:pPr>
            <w:r>
              <w:rPr>
                <w:b w:val="false"/>
                <w:bCs w:val="false"/>
                <w:sz w:val="19"/>
                <w:szCs w:val="19"/>
              </w:rPr>
              <w:t xml:space="preserve">Trust brand damage from any monetisation misstep.</w:t>
            </w:r>
          </w:p>
        </w:tc>
        <w:tc>
          <w:tcPr>
            <w:tcW w:type="dxa" w:w="1123"/>
            <w:tcMar>
              <w:top w:type="dxa" w:w="80"/>
              <w:left w:type="dxa" w:w="110"/>
              <w:bottom w:type="dxa" w:w="80"/>
              <w:right w:type="dxa" w:w="110"/>
            </w:tcMar>
          </w:tcPr>
          <w:p>
            <w:pPr>
              <w:spacing w:after="0" w:line="260"/>
            </w:pPr>
            <w:r>
              <w:rPr>
                <w:b w:val="false"/>
                <w:bCs w:val="false"/>
                <w:sz w:val="19"/>
                <w:szCs w:val="19"/>
              </w:rPr>
              <w:t xml:space="preserve">High</w:t>
            </w:r>
          </w:p>
        </w:tc>
        <w:tc>
          <w:tcPr>
            <w:tcW w:type="dxa" w:w="4968"/>
            <w:tcMar>
              <w:top w:type="dxa" w:w="80"/>
              <w:left w:type="dxa" w:w="110"/>
              <w:bottom w:type="dxa" w:w="80"/>
              <w:right w:type="dxa" w:w="110"/>
            </w:tcMar>
          </w:tcPr>
          <w:p>
            <w:pPr>
              <w:spacing w:after="0" w:line="260"/>
            </w:pPr>
            <w:r>
              <w:rPr>
                <w:b w:val="false"/>
                <w:bCs w:val="false"/>
                <w:sz w:val="19"/>
                <w:szCs w:val="19"/>
              </w:rPr>
              <w:t xml:space="preserve">No paid ranking. Fee ledger transparency enforced in the product, not by policy. Any future paid placement labelled unmistakably.</w:t>
            </w:r>
          </w:p>
        </w:tc>
      </w:tr>
    </w:tbl>
    <w:p>
      <w:pPr>
        <w:spacing w:after="160"/>
      </w:pPr>
      <w:r>
        <w:rPr>
          <w:sz w:val="2"/>
          <w:szCs w:val="2"/>
        </w:rPr>
        <w:t xml:space="preserve"/>
      </w:r>
    </w:p>
    <w:p>
      <w:pPr>
        <w:pStyle w:val="Heading1"/>
        <w:spacing w:after="160" w:before="360"/>
      </w:pPr>
      <w:r>
        <w:rPr>
          <w:b/>
          <w:bCs/>
          <w:color w:val="1F4E5F"/>
          <w:sz w:val="30"/>
          <w:szCs w:val="30"/>
        </w:rPr>
        <w:t xml:space="preserve">9.  What has to be true</w:t>
      </w:r>
    </w:p>
    <w:p>
      <w:pPr>
        <w:spacing w:after="140" w:line="280"/>
      </w:pPr>
      <w:r>
        <w:rPr>
          <w:sz w:val="21"/>
          <w:szCs w:val="21"/>
        </w:rPr>
        <w:t xml:space="preserve">The roadmap rests on four load-bearing assumptions. If any is false, the plan changes materially — worth stating them plainly so they can be tested rather than assumed.</w:t>
      </w:r>
    </w:p>
    <w:p>
      <w:pPr>
        <w:pStyle w:val="ListParagraph"/>
        <w:numPr>
          <w:ilvl w:val="0"/>
          <w:numId w:val="3"/>
        </w:numPr>
        <w:spacing w:after="90" w:line="280"/>
      </w:pPr>
      <w:r>
        <w:rPr>
          <w:b/>
          <w:bCs/>
          <w:sz w:val="21"/>
          <w:szCs w:val="21"/>
        </w:rPr>
        <w:t xml:space="preserve">Verification is productisable.</w:t>
      </w:r>
      <w:r>
        <w:rPr>
          <w:sz w:val="21"/>
          <w:szCs w:val="21"/>
        </w:rPr>
        <w:t xml:space="preserve"> A title check can be delivered in days, at a price a normal buyer will pay. </w:t>
      </w:r>
      <w:r>
        <w:rPr>
          <w:i/>
          <w:iCs/>
          <w:sz w:val="21"/>
          <w:szCs w:val="21"/>
        </w:rPr>
        <w:t xml:space="preserve">Test: the Nigeria meeting.</w:t>
      </w:r>
    </w:p>
    <w:p>
      <w:pPr>
        <w:pStyle w:val="ListParagraph"/>
        <w:numPr>
          <w:ilvl w:val="0"/>
          <w:numId w:val="3"/>
        </w:numPr>
        <w:spacing w:after="90" w:line="280"/>
      </w:pPr>
      <w:r>
        <w:rPr>
          <w:b/>
          <w:bCs/>
          <w:sz w:val="21"/>
          <w:szCs w:val="21"/>
        </w:rPr>
        <w:t xml:space="preserve">Buyers will pay for certainty.</w:t>
      </w:r>
      <w:r>
        <w:rPr>
          <w:sz w:val="21"/>
          <w:szCs w:val="21"/>
        </w:rPr>
        <w:t xml:space="preserve"> Enough of the market values verified over cheap. </w:t>
      </w:r>
      <w:r>
        <w:rPr>
          <w:i/>
          <w:iCs/>
          <w:sz w:val="21"/>
          <w:szCs w:val="21"/>
        </w:rPr>
        <w:t xml:space="preserve">Test: first 20 paid verifications.</w:t>
      </w:r>
    </w:p>
    <w:p>
      <w:pPr>
        <w:pStyle w:val="ListParagraph"/>
        <w:numPr>
          <w:ilvl w:val="0"/>
          <w:numId w:val="3"/>
        </w:numPr>
        <w:spacing w:after="90" w:line="280"/>
      </w:pPr>
      <w:r>
        <w:rPr>
          <w:b/>
          <w:bCs/>
          <w:sz w:val="21"/>
          <w:szCs w:val="21"/>
        </w:rPr>
        <w:t xml:space="preserve">Good agents want to be distinguishable.</w:t>
      </w:r>
      <w:r>
        <w:rPr>
          <w:sz w:val="21"/>
          <w:szCs w:val="21"/>
        </w:rPr>
        <w:t xml:space="preserve"> Legitimate agents will accept scrutiny for the advantage of a badge. </w:t>
      </w:r>
      <w:r>
        <w:rPr>
          <w:i/>
          <w:iCs/>
          <w:sz w:val="21"/>
          <w:szCs w:val="21"/>
        </w:rPr>
        <w:t xml:space="preserve">Test: agent recruitment in Phase 1.</w:t>
      </w:r>
    </w:p>
    <w:p>
      <w:pPr>
        <w:pStyle w:val="ListParagraph"/>
        <w:numPr>
          <w:ilvl w:val="0"/>
          <w:numId w:val="3"/>
        </w:numPr>
        <w:spacing w:after="90" w:line="280"/>
      </w:pPr>
      <w:r>
        <w:rPr>
          <w:b/>
          <w:bCs/>
          <w:sz w:val="21"/>
          <w:szCs w:val="21"/>
        </w:rPr>
        <w:t xml:space="preserve">The anchor partnership closes.</w:t>
      </w:r>
      <w:r>
        <w:rPr>
          <w:sz w:val="21"/>
          <w:szCs w:val="21"/>
        </w:rPr>
        <w:t xml:space="preserve"> </w:t>
      </w:r>
      <w:r>
        <w:rPr>
          <w:i/>
          <w:iCs/>
          <w:sz w:val="21"/>
          <w:szCs w:val="21"/>
        </w:rPr>
        <w:t xml:space="preserve">Test: two weeks.</w:t>
      </w:r>
    </w:p>
    <w:p>
      <w:pPr>
        <w:pStyle w:val="Heading1"/>
        <w:spacing w:after="160" w:before="360"/>
      </w:pPr>
      <w:r>
        <w:rPr>
          <w:b/>
          <w:bCs/>
          <w:color w:val="1F4E5F"/>
          <w:sz w:val="30"/>
          <w:szCs w:val="30"/>
        </w:rPr>
        <w:t xml:space="preserve">10.  The next 90 days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1728"/>
        <w:gridCol w:w="7632"/>
      </w:tblGrid>
      <w:tr>
        <w:trPr>
          <w:tblHeader/>
        </w:trPr>
        <w:tc>
          <w:tcPr>
            <w:tcW w:type="dxa" w:w="1728"/>
            <w:shd w:fill="E8EEF1" w:color="auto" w:val="clear"/>
            <w:tcMar>
              <w:top w:type="dxa" w:w="80"/>
              <w:left w:type="dxa" w:w="110"/>
              <w:bottom w:type="dxa" w:w="80"/>
              <w:right w:type="dxa" w:w="110"/>
            </w:tcMar>
          </w:tcPr>
          <w:p>
            <w:pPr>
              <w:spacing w:after="0" w:line="260"/>
            </w:pPr>
            <w:r>
              <w:rPr>
                <w:b/>
                <w:bCs/>
                <w:sz w:val="19"/>
                <w:szCs w:val="19"/>
              </w:rPr>
              <w:t xml:space="preserve">Window</w:t>
            </w:r>
          </w:p>
        </w:tc>
        <w:tc>
          <w:tcPr>
            <w:tcW w:type="dxa" w:w="7632"/>
            <w:shd w:fill="E8EEF1" w:color="auto" w:val="clear"/>
            <w:tcMar>
              <w:top w:type="dxa" w:w="80"/>
              <w:left w:type="dxa" w:w="110"/>
              <w:bottom w:type="dxa" w:w="80"/>
              <w:right w:type="dxa" w:w="110"/>
            </w:tcMar>
          </w:tcPr>
          <w:p>
            <w:pPr>
              <w:spacing w:after="0" w:line="260"/>
            </w:pPr>
            <w:r>
              <w:rPr>
                <w:b/>
                <w:bCs/>
                <w:sz w:val="19"/>
                <w:szCs w:val="19"/>
              </w:rPr>
              <w:t xml:space="preserve">Focus</w:t>
            </w:r>
          </w:p>
        </w:tc>
      </w:tr>
      <w:tr>
        <w:tc>
          <w:tcPr>
            <w:tcW w:type="dxa" w:w="1728"/>
            <w:tcMar>
              <w:top w:type="dxa" w:w="80"/>
              <w:left w:type="dxa" w:w="110"/>
              <w:bottom w:type="dxa" w:w="80"/>
              <w:right w:type="dxa" w:w="110"/>
            </w:tcMar>
          </w:tcPr>
          <w:p>
            <w:pPr>
              <w:spacing w:after="0" w:line="260"/>
            </w:pPr>
            <w:r>
              <w:rPr>
                <w:b w:val="false"/>
                <w:bCs w:val="false"/>
                <w:sz w:val="19"/>
                <w:szCs w:val="19"/>
              </w:rPr>
              <w:t xml:space="preserve">Weeks 1–2</w:t>
            </w:r>
          </w:p>
        </w:tc>
        <w:tc>
          <w:tcPr>
            <w:tcW w:type="dxa" w:w="7632"/>
            <w:tcMar>
              <w:top w:type="dxa" w:w="80"/>
              <w:left w:type="dxa" w:w="110"/>
              <w:bottom w:type="dxa" w:w="80"/>
              <w:right w:type="dxa" w:w="110"/>
            </w:tcMar>
          </w:tcPr>
          <w:p>
            <w:pPr>
              <w:spacing w:after="0" w:line="260"/>
            </w:pPr>
            <w:r>
              <w:rPr>
                <w:b w:val="false"/>
                <w:bCs w:val="false"/>
                <w:sz w:val="19"/>
                <w:szCs w:val="19"/>
              </w:rPr>
              <w:t xml:space="preserve">Finish Phase 1 build steps 2–4 (Listings, Landmark search, Trust Panel). Prepare the Nigeria demo.</w:t>
            </w:r>
          </w:p>
        </w:tc>
      </w:tr>
      <w:tr>
        <w:tc>
          <w:tcPr>
            <w:tcW w:type="dxa" w:w="1728"/>
            <w:tcMar>
              <w:top w:type="dxa" w:w="80"/>
              <w:left w:type="dxa" w:w="110"/>
              <w:bottom w:type="dxa" w:w="80"/>
              <w:right w:type="dxa" w:w="110"/>
            </w:tcMar>
          </w:tcPr>
          <w:p>
            <w:pPr>
              <w:spacing w:after="0" w:line="260"/>
            </w:pPr>
            <w:r>
              <w:rPr>
                <w:b w:val="false"/>
                <w:bCs w:val="false"/>
                <w:sz w:val="19"/>
                <w:szCs w:val="19"/>
              </w:rPr>
              <w:t xml:space="preserve">Week 3</w:t>
            </w:r>
          </w:p>
        </w:tc>
        <w:tc>
          <w:tcPr>
            <w:tcW w:type="dxa" w:w="7632"/>
            <w:tcMar>
              <w:top w:type="dxa" w:w="80"/>
              <w:left w:type="dxa" w:w="110"/>
              <w:bottom w:type="dxa" w:w="80"/>
              <w:right w:type="dxa" w:w="110"/>
            </w:tcMar>
          </w:tcPr>
          <w:p>
            <w:pPr>
              <w:spacing w:after="0" w:line="260"/>
            </w:pPr>
            <w:r>
              <w:rPr>
                <w:b w:val="false"/>
                <w:bCs w:val="false"/>
                <w:sz w:val="19"/>
                <w:szCs w:val="19"/>
              </w:rPr>
              <w:t xml:space="preserve">Nigeria. Present to Julie. Resolve the five partnership questions. Walk the registry process in person if possible.</w:t>
            </w:r>
          </w:p>
        </w:tc>
      </w:tr>
      <w:tr>
        <w:tc>
          <w:tcPr>
            <w:tcW w:type="dxa" w:w="1728"/>
            <w:tcMar>
              <w:top w:type="dxa" w:w="80"/>
              <w:left w:type="dxa" w:w="110"/>
              <w:bottom w:type="dxa" w:w="80"/>
              <w:right w:type="dxa" w:w="110"/>
            </w:tcMar>
          </w:tcPr>
          <w:p>
            <w:pPr>
              <w:spacing w:after="0" w:line="260"/>
            </w:pPr>
            <w:r>
              <w:rPr>
                <w:b w:val="false"/>
                <w:bCs w:val="false"/>
                <w:sz w:val="19"/>
                <w:szCs w:val="19"/>
              </w:rPr>
              <w:t xml:space="preserve">Weeks 4–8</w:t>
            </w:r>
          </w:p>
        </w:tc>
        <w:tc>
          <w:tcPr>
            <w:tcW w:type="dxa" w:w="7632"/>
            <w:tcMar>
              <w:top w:type="dxa" w:w="80"/>
              <w:left w:type="dxa" w:w="110"/>
              <w:bottom w:type="dxa" w:w="80"/>
              <w:right w:type="dxa" w:w="110"/>
            </w:tcMar>
          </w:tcPr>
          <w:p>
            <w:pPr>
              <w:spacing w:after="0" w:line="260"/>
            </w:pPr>
            <w:r>
              <w:rPr>
                <w:b w:val="false"/>
                <w:bCs w:val="false"/>
                <w:sz w:val="19"/>
                <w:szCs w:val="19"/>
              </w:rPr>
              <w:t xml:space="preserve">Complete Phase 1 (fee ledger, chat + WhatsApp, inspection booking, verification + admin). Encode the firm's verification standard into the tier definitions.</w:t>
            </w:r>
          </w:p>
        </w:tc>
      </w:tr>
      <w:tr>
        <w:tc>
          <w:tcPr>
            <w:tcW w:type="dxa" w:w="1728"/>
            <w:tcMar>
              <w:top w:type="dxa" w:w="80"/>
              <w:left w:type="dxa" w:w="110"/>
              <w:bottom w:type="dxa" w:w="80"/>
              <w:right w:type="dxa" w:w="110"/>
            </w:tcMar>
          </w:tcPr>
          <w:p>
            <w:pPr>
              <w:spacing w:after="0" w:line="260"/>
            </w:pPr>
            <w:r>
              <w:rPr>
                <w:b w:val="false"/>
                <w:bCs w:val="false"/>
                <w:sz w:val="19"/>
                <w:szCs w:val="19"/>
              </w:rPr>
              <w:t xml:space="preserve">Weeks 9–12</w:t>
            </w:r>
          </w:p>
        </w:tc>
        <w:tc>
          <w:tcPr>
            <w:tcW w:type="dxa" w:w="7632"/>
            <w:tcMar>
              <w:top w:type="dxa" w:w="80"/>
              <w:left w:type="dxa" w:w="110"/>
              <w:bottom w:type="dxa" w:w="80"/>
              <w:right w:type="dxa" w:w="110"/>
            </w:tcMar>
          </w:tcPr>
          <w:p>
            <w:pPr>
              <w:spacing w:after="0" w:line="260"/>
            </w:pPr>
            <w:r>
              <w:rPr>
                <w:b w:val="false"/>
                <w:bCs w:val="false"/>
                <w:sz w:val="19"/>
                <w:szCs w:val="19"/>
              </w:rPr>
              <w:t xml:space="preserve">Seed the pilot catalogue with anchor-firm inventory. Recruit first external verified agents. Begin technical co-founder search using the working demo.</w:t>
            </w:r>
          </w:p>
        </w:tc>
      </w:tr>
    </w:tbl>
    <w:p>
      <w:pPr>
        <w:spacing w:after="200"/>
      </w:pPr>
      <w:r>
        <w:rPr>
          <w:sz w:val="2"/>
          <w:szCs w:val="2"/>
        </w:rPr>
        <w:t xml:space="preserve"/>
      </w:r>
    </w:p>
    <w:p>
      <w:pPr>
        <w:pBdr>
          <w:bottom w:val="single" w:color="CCCCCC" w:sz="6" w:space="6"/>
        </w:pBdr>
        <w:spacing w:after="120" w:before="120"/>
      </w:pPr>
      <w:r>
        <w:rPr>
          <w:sz w:val="2"/>
          <w:szCs w:val="2"/>
        </w:rPr>
        <w:t xml:space="preserve"/>
      </w:r>
    </w:p>
    <w:p>
      <w:pPr>
        <w:pStyle w:val="Heading2"/>
        <w:spacing w:after="120" w:before="260"/>
      </w:pPr>
      <w:r>
        <w:rPr>
          <w:b/>
          <w:bCs/>
          <w:color w:val="1F4E5F"/>
          <w:sz w:val="24"/>
          <w:szCs w:val="24"/>
        </w:rPr>
        <w:t xml:space="preserve">Changelog</w:t>
      </w:r>
    </w:p>
    <w:p>
      <w:pPr>
        <w:spacing w:after="140" w:line="280"/>
      </w:pPr>
      <w:r>
        <w:rPr>
          <w:b/>
          <w:bCs/>
          <w:sz w:val="21"/>
          <w:szCs w:val="21"/>
        </w:rPr>
        <w:t xml:space="preserve">v1</w:t>
      </w:r>
      <w:r>
        <w:rPr>
          <w:sz w:val="21"/>
          <w:szCs w:val="21"/>
        </w:rPr>
        <w:t xml:space="preserve"> — Market and fraud analysis, target segments, competitive landscape, free-listings business model with ten revenue lines, four-phase plan, J.U. Uzor partnership structure, risk register.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Unö — Strategy Roadmap  ·  Confidential  ·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Unö — Strategy Roadmap</dc:title>
  <dc:creator>Unö</dc:creator>
  <dc:description>Market analysis, business model, phased plan, and partnership strategy</dc:description>
  <cp:lastModifiedBy>Un-named</cp:lastModifiedBy>
  <cp:revision>1</cp:revision>
  <dcterms:created xsi:type="dcterms:W3CDTF">2026-07-22T01:47:05.212Z</dcterms:created>
  <dcterms:modified xsi:type="dcterms:W3CDTF">2026-07-22T01:47:05.225Z</dcterms:modified>
</cp:coreProperties>
</file>

<file path=docProps/custom.xml><?xml version="1.0" encoding="utf-8"?>
<Properties xmlns="http://schemas.openxmlformats.org/officeDocument/2006/custom-properties" xmlns:vt="http://schemas.openxmlformats.org/officeDocument/2006/docPropsVTypes"/>
</file>