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i w:val="false"/>
          <w:iCs w:val="false"/>
          <w:color w:val="1F4E5F"/>
          <w:sz w:val="72"/>
          <w:szCs w:val="72"/>
        </w:rPr>
        <w:t xml:space="preserve">Un</w:t>
      </w:r>
      <w:r>
        <w:rPr>
          <w:b/>
          <w:bCs/>
          <w:i w:val="false"/>
          <w:iCs w:val="false"/>
          <w:color w:val="1F4E5F"/>
          <w:sz w:val="72"/>
          <w:szCs w:val="72"/>
        </w:rPr>
        <w:t xml:space="preserve">o</w:t>
      </w:r>
      <w:r>
        <w:rPr>
          <w:b/>
          <w:bCs/>
          <w:i w:val="false"/>
          <w:iCs w:val="false"/>
          <w:color w:val="C8102E"/>
          <w:sz w:val="72"/>
          <w:szCs w:val="72"/>
        </w:rPr>
        <w:t xml:space="preserve">̈</w:t>
      </w:r>
    </w:p>
    <w:p>
      <w:pPr>
        <w:spacing w:after="200"/>
      </w:pPr>
      <w:r>
        <w:rPr>
          <w:b/>
          <w:bCs/>
          <w:color w:val="2A2A2A"/>
          <w:sz w:val="40"/>
          <w:szCs w:val="40"/>
        </w:rPr>
        <w:t xml:space="preserve">Technical Specification</w:t>
      </w:r>
    </w:p>
    <w:p>
      <w:pPr>
        <w:spacing w:after="60"/>
      </w:pPr>
      <w:r>
        <w:rPr>
          <w:b w:val="false"/>
          <w:bCs w:val="false"/>
          <w:i/>
          <w:iCs/>
          <w:color w:val="5A5A5A"/>
          <w:sz w:val="22"/>
          <w:szCs w:val="22"/>
        </w:rPr>
        <w:t xml:space="preserve">Architecture, data model, adapter boundaries, and cost posture for the locked stack.</w:t>
      </w:r>
    </w:p>
    <w:p>
      <w:pPr>
        <w:spacing w:after="40"/>
      </w:pPr>
      <w:r>
        <w:rPr>
          <w:b w:val="false"/>
          <w:bCs w:val="false"/>
          <w:i/>
          <w:iCs/>
          <w:color w:val="5A5A5A"/>
          <w:sz w:val="20"/>
          <w:szCs w:val="20"/>
        </w:rPr>
        <w:t xml:space="preserve">Companion to the Build Brief, Strategy Roadmap, Onboarding &amp; Milestones, and Product Feature Spec.</w:t>
      </w:r>
    </w:p>
    <w:p>
      <w:pPr>
        <w:spacing w:after="300"/>
      </w:pPr>
      <w:r>
        <w:rPr>
          <w:i/>
          <w:iCs/>
          <w:color w:val="5A5A5A"/>
          <w:sz w:val="20"/>
          <w:szCs w:val="20"/>
        </w:rPr>
        <w:t xml:space="preserve">Version 1  ·  July 2026  ·  Confidential</w:t>
      </w:r>
    </w:p>
    <w:p>
      <w:pPr>
        <w:pBdr>
          <w:bottom w:val="single" w:color="CCCCCC" w:sz="6" w:space="6"/>
        </w:pBdr>
        <w:spacing w:after="120" w:before="120"/>
      </w:pPr>
      <w:r>
        <w:rPr>
          <w:sz w:val="2"/>
          <w:szCs w:val="2"/>
        </w:rPr>
        <w:t xml:space="preserve"/>
      </w:r>
    </w:p>
    <w:p>
      <w:pPr>
        <w:pStyle w:val="Heading1"/>
        <w:spacing w:after="160" w:before="360"/>
      </w:pPr>
      <w:r>
        <w:rPr>
          <w:b/>
          <w:bCs/>
          <w:i w:val="false"/>
          <w:iCs w:val="false"/>
          <w:color w:val="1F4E5F"/>
          <w:sz w:val="30"/>
          <w:szCs w:val="30"/>
        </w:rPr>
        <w:t xml:space="preserve">Guiding principles</w:t>
      </w:r>
    </w:p>
    <w:p>
      <w:pPr>
        <w:pStyle w:val="ListParagraph"/>
        <w:numPr>
          <w:ilvl w:val="0"/>
          <w:numId w:val="2"/>
        </w:numPr>
        <w:spacing w:after="90" w:line="280"/>
      </w:pPr>
      <w:r>
        <w:rPr>
          <w:b/>
          <w:bCs/>
          <w:i w:val="false"/>
          <w:iCs w:val="false"/>
          <w:color w:val="1A1A1A"/>
          <w:sz w:val="21"/>
          <w:szCs w:val="21"/>
        </w:rPr>
        <w:t xml:space="preserve">Boring where it counts, modern where it pays. </w:t>
      </w:r>
      <w:r>
        <w:rPr>
          <w:b w:val="false"/>
          <w:bCs w:val="false"/>
          <w:i w:val="false"/>
          <w:iCs w:val="false"/>
          <w:color w:val="1A1A1A"/>
          <w:sz w:val="21"/>
          <w:szCs w:val="21"/>
        </w:rPr>
        <w:t xml:space="preserve">Money, titles, and identity flow through this system. Choose proven, well-understood technology for anything touching those; save the novelty budget for search and, later, the 3D experience.</w:t>
      </w:r>
    </w:p>
    <w:p>
      <w:pPr>
        <w:pStyle w:val="ListParagraph"/>
        <w:numPr>
          <w:ilvl w:val="0"/>
          <w:numId w:val="2"/>
        </w:numPr>
        <w:spacing w:after="90" w:line="280"/>
      </w:pPr>
      <w:r>
        <w:rPr>
          <w:b/>
          <w:bCs/>
          <w:i w:val="false"/>
          <w:iCs w:val="false"/>
          <w:color w:val="1A1A1A"/>
          <w:sz w:val="21"/>
          <w:szCs w:val="21"/>
        </w:rPr>
        <w:t xml:space="preserve">One codebase, one backend, small team. </w:t>
      </w:r>
      <w:r>
        <w:rPr>
          <w:b w:val="false"/>
          <w:bCs w:val="false"/>
          <w:i w:val="false"/>
          <w:iCs w:val="false"/>
          <w:color w:val="1A1A1A"/>
          <w:sz w:val="21"/>
          <w:szCs w:val="21"/>
        </w:rPr>
        <w:t xml:space="preserve">No microservices until real scale forces it. A well-structured monolith is faster to build, cheaper to run, and easier for one or two people to hold in their heads.</w:t>
      </w:r>
    </w:p>
    <w:p>
      <w:pPr>
        <w:pStyle w:val="ListParagraph"/>
        <w:numPr>
          <w:ilvl w:val="0"/>
          <w:numId w:val="2"/>
        </w:numPr>
        <w:spacing w:after="90" w:line="280"/>
      </w:pPr>
      <w:r>
        <w:rPr>
          <w:b/>
          <w:bCs/>
          <w:i w:val="false"/>
          <w:iCs w:val="false"/>
          <w:color w:val="1A1A1A"/>
          <w:sz w:val="21"/>
          <w:szCs w:val="21"/>
        </w:rPr>
        <w:t xml:space="preserve">Mobile-first, low-data, WhatsApp-native. </w:t>
      </w:r>
      <w:r>
        <w:rPr>
          <w:b w:val="false"/>
          <w:bCs w:val="false"/>
          <w:i w:val="false"/>
          <w:iCs w:val="false"/>
          <w:color w:val="1A1A1A"/>
          <w:sz w:val="21"/>
          <w:szCs w:val="21"/>
        </w:rPr>
        <w:t xml:space="preserve">Every technical choice is filtered through one question: will this work well on an Android phone in Lagos on an expensive data plan?</w:t>
      </w:r>
    </w:p>
    <w:p>
      <w:pPr>
        <w:pStyle w:val="ListParagraph"/>
        <w:numPr>
          <w:ilvl w:val="0"/>
          <w:numId w:val="2"/>
        </w:numPr>
        <w:spacing w:after="90" w:line="280"/>
      </w:pPr>
      <w:r>
        <w:rPr>
          <w:b/>
          <w:bCs/>
          <w:i w:val="false"/>
          <w:iCs w:val="false"/>
          <w:color w:val="1A1A1A"/>
          <w:sz w:val="21"/>
          <w:szCs w:val="21"/>
        </w:rPr>
        <w:t xml:space="preserve">Integrate regulated functions, do not become them. </w:t>
      </w:r>
      <w:r>
        <w:rPr>
          <w:b w:val="false"/>
          <w:bCs w:val="false"/>
          <w:i w:val="false"/>
          <w:iCs w:val="false"/>
          <w:color w:val="1A1A1A"/>
          <w:sz w:val="21"/>
          <w:szCs w:val="21"/>
        </w:rPr>
        <w:t xml:space="preserve">Escrow and lending are partnerships, not modules. Becoming a custodian of funds turns </w:t>
      </w:r>
      <w:r>
        <w:rPr>
          <w:b w:val="false"/>
          <w:bCs w:val="false"/>
          <w:i w:val="false"/>
          <w:iCs w:val="false"/>
          <w:color w:val="1A1A1A"/>
          <w:sz w:val="21"/>
          <w:szCs w:val="21"/>
        </w:rPr>
        <w:t xml:space="preserve">Un</w:t>
      </w:r>
      <w:r>
        <w:rPr>
          <w:b w:val="false"/>
          <w:bCs w:val="false"/>
          <w:i w:val="false"/>
          <w:iCs w:val="false"/>
          <w:color w:val="1A1A1A"/>
          <w:sz w:val="21"/>
          <w:szCs w:val="21"/>
        </w:rPr>
        <w:t xml:space="preserve">o</w:t>
      </w:r>
      <w:r>
        <w:rPr>
          <w:b w:val="false"/>
          <w:bCs w:val="false"/>
          <w:i w:val="false"/>
          <w:iCs w:val="false"/>
          <w:color w:val="C8102E"/>
          <w:sz w:val="21"/>
          <w:szCs w:val="21"/>
        </w:rPr>
        <w:t xml:space="preserve">̈</w:t>
      </w:r>
      <w:r>
        <w:rPr>
          <w:b w:val="false"/>
          <w:bCs w:val="false"/>
          <w:i w:val="false"/>
          <w:iCs w:val="false"/>
          <w:color w:val="1A1A1A"/>
          <w:sz w:val="21"/>
          <w:szCs w:val="21"/>
        </w:rPr>
        <w:t xml:space="preserve"> into a regulated financial institution — a different company entirely.</w:t>
      </w:r>
    </w:p>
    <w:p>
      <w:pPr>
        <w:pStyle w:val="ListParagraph"/>
        <w:numPr>
          <w:ilvl w:val="0"/>
          <w:numId w:val="2"/>
        </w:numPr>
        <w:spacing w:after="90" w:line="280"/>
      </w:pPr>
      <w:r>
        <w:rPr>
          <w:b/>
          <w:bCs/>
          <w:i w:val="false"/>
          <w:iCs w:val="false"/>
          <w:color w:val="1A1A1A"/>
          <w:sz w:val="21"/>
          <w:szCs w:val="21"/>
        </w:rPr>
        <w:t xml:space="preserve">Build for the demo as well as the deployment. </w:t>
      </w:r>
      <w:r>
        <w:rPr>
          <w:b w:val="false"/>
          <w:bCs w:val="false"/>
          <w:i w:val="false"/>
          <w:iCs w:val="false"/>
          <w:color w:val="1A1A1A"/>
          <w:sz w:val="21"/>
          <w:szCs w:val="21"/>
        </w:rPr>
        <w:t xml:space="preserve">Phase 1’s job is partly to be shown — to Julie, and to a prospective technical co-founder. Seed data, a reset script, and a reliable offline-capable demo path are features, not chores.</w:t>
      </w:r>
    </w:p>
    <w:p>
      <w:pPr>
        <w:pStyle w:val="Heading1"/>
        <w:spacing w:after="160" w:before="360"/>
      </w:pPr>
      <w:r>
        <w:rPr>
          <w:b/>
          <w:bCs/>
          <w:i w:val="false"/>
          <w:iCs w:val="false"/>
          <w:color w:val="1F4E5F"/>
          <w:sz w:val="30"/>
          <w:szCs w:val="30"/>
        </w:rPr>
        <w:t xml:space="preserve">Stack at a glance</w:t>
      </w:r>
    </w:p>
    <w:p>
      <w:pPr>
        <w:spacing w:after="140" w:line="280"/>
      </w:pPr>
      <w:r>
        <w:rPr>
          <w:b w:val="false"/>
          <w:bCs w:val="false"/>
          <w:i w:val="false"/>
          <w:iCs w:val="false"/>
          <w:color w:val="1A1A1A"/>
          <w:sz w:val="21"/>
          <w:szCs w:val="21"/>
        </w:rPr>
        <w:t xml:space="preserve">The stack is locked. This table records what each piece is for, so a new engineer can see the reasoning rather than re-litigate the choice.</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1656"/>
        <w:gridCol w:w="2808"/>
        <w:gridCol w:w="4896"/>
      </w:tblGrid>
      <w:tr>
        <w:trPr>
          <w:tblHeader/>
        </w:trPr>
        <w:tc>
          <w:tcPr>
            <w:tcW w:type="dxa" w:w="1656"/>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Layer</w:t>
            </w:r>
          </w:p>
        </w:tc>
        <w:tc>
          <w:tcPr>
            <w:tcW w:type="dxa" w:w="2808"/>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Choice</w:t>
            </w:r>
          </w:p>
        </w:tc>
        <w:tc>
          <w:tcPr>
            <w:tcW w:type="dxa" w:w="4896"/>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Why</w:t>
            </w:r>
          </w:p>
        </w:tc>
      </w:tr>
      <w:tr>
        <w:tc>
          <w:tcPr>
            <w:tcW w:type="dxa" w:w="1656"/>
            <w:tcMar>
              <w:top w:type="dxa" w:w="80"/>
              <w:left w:type="dxa" w:w="110"/>
              <w:bottom w:type="dxa" w:w="80"/>
              <w:right w:type="dxa" w:w="110"/>
            </w:tcMar>
          </w:tcPr>
          <w:p>
            <w:pPr>
              <w:spacing w:after="0" w:line="260"/>
            </w:pPr>
            <w:r>
              <w:rPr>
                <w:b/>
                <w:bCs/>
                <w:i w:val="false"/>
                <w:iCs w:val="false"/>
                <w:color w:val="1A1A1A"/>
                <w:sz w:val="19"/>
                <w:szCs w:val="19"/>
              </w:rPr>
              <w:t xml:space="preserve">Mobile app</w:t>
            </w:r>
          </w:p>
        </w:tc>
        <w:tc>
          <w:tcPr>
            <w:tcW w:type="dxa" w:w="2808"/>
            <w:tcMar>
              <w:top w:type="dxa" w:w="80"/>
              <w:left w:type="dxa" w:w="110"/>
              <w:bottom w:type="dxa" w:w="80"/>
              <w:right w:type="dxa" w:w="110"/>
            </w:tcMar>
          </w:tcPr>
          <w:p>
            <w:pPr>
              <w:spacing w:after="0" w:line="260"/>
            </w:pPr>
            <w:r>
              <w:rPr>
                <w:b w:val="false"/>
                <w:bCs w:val="false"/>
                <w:i w:val="false"/>
                <w:iCs w:val="false"/>
                <w:color w:val="1A1A1A"/>
                <w:sz w:val="19"/>
                <w:szCs w:val="19"/>
              </w:rPr>
              <w:t xml:space="preserve">React Native (Expo)</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One codebase for Android and iOS. OTA updates. Large Lagos hiring pool. Diaspora needs iOS; Nigeria needs Android.</w:t>
            </w:r>
          </w:p>
        </w:tc>
      </w:tr>
      <w:tr>
        <w:tc>
          <w:tcPr>
            <w:tcW w:type="dxa" w:w="1656"/>
            <w:tcMar>
              <w:top w:type="dxa" w:w="80"/>
              <w:left w:type="dxa" w:w="110"/>
              <w:bottom w:type="dxa" w:w="80"/>
              <w:right w:type="dxa" w:w="110"/>
            </w:tcMar>
          </w:tcPr>
          <w:p>
            <w:pPr>
              <w:spacing w:after="0" w:line="260"/>
            </w:pPr>
            <w:r>
              <w:rPr>
                <w:b/>
                <w:bCs/>
                <w:i w:val="false"/>
                <w:iCs w:val="false"/>
                <w:color w:val="1A1A1A"/>
                <w:sz w:val="19"/>
                <w:szCs w:val="19"/>
              </w:rPr>
              <w:t xml:space="preserve">Backend</w:t>
            </w:r>
          </w:p>
        </w:tc>
        <w:tc>
          <w:tcPr>
            <w:tcW w:type="dxa" w:w="2808"/>
            <w:tcMar>
              <w:top w:type="dxa" w:w="80"/>
              <w:left w:type="dxa" w:w="110"/>
              <w:bottom w:type="dxa" w:w="80"/>
              <w:right w:type="dxa" w:w="110"/>
            </w:tcMar>
          </w:tcPr>
          <w:p>
            <w:pPr>
              <w:spacing w:after="0" w:line="260"/>
            </w:pPr>
            <w:r>
              <w:rPr>
                <w:b w:val="false"/>
                <w:bCs w:val="false"/>
                <w:i w:val="false"/>
                <w:iCs w:val="false"/>
                <w:color w:val="1A1A1A"/>
                <w:sz w:val="19"/>
                <w:szCs w:val="19"/>
              </w:rPr>
              <w:t xml:space="preserve">NestJS (Node / TypeScript)</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Shared types with the app. Strong structural conventions, which matter when much of the code is AI-assisted.</w:t>
            </w:r>
          </w:p>
        </w:tc>
      </w:tr>
      <w:tr>
        <w:tc>
          <w:tcPr>
            <w:tcW w:type="dxa" w:w="1656"/>
            <w:tcMar>
              <w:top w:type="dxa" w:w="80"/>
              <w:left w:type="dxa" w:w="110"/>
              <w:bottom w:type="dxa" w:w="80"/>
              <w:right w:type="dxa" w:w="110"/>
            </w:tcMar>
          </w:tcPr>
          <w:p>
            <w:pPr>
              <w:spacing w:after="0" w:line="260"/>
            </w:pPr>
            <w:r>
              <w:rPr>
                <w:b/>
                <w:bCs/>
                <w:i w:val="false"/>
                <w:iCs w:val="false"/>
                <w:color w:val="1A1A1A"/>
                <w:sz w:val="19"/>
                <w:szCs w:val="19"/>
              </w:rPr>
              <w:t xml:space="preserve">Database</w:t>
            </w:r>
          </w:p>
        </w:tc>
        <w:tc>
          <w:tcPr>
            <w:tcW w:type="dxa" w:w="2808"/>
            <w:tcMar>
              <w:top w:type="dxa" w:w="80"/>
              <w:left w:type="dxa" w:w="110"/>
              <w:bottom w:type="dxa" w:w="80"/>
              <w:right w:type="dxa" w:w="110"/>
            </w:tcMar>
          </w:tcPr>
          <w:p>
            <w:pPr>
              <w:spacing w:after="0" w:line="260"/>
            </w:pPr>
            <w:r>
              <w:rPr>
                <w:b w:val="false"/>
                <w:bCs w:val="false"/>
                <w:i w:val="false"/>
                <w:iCs w:val="false"/>
                <w:color w:val="1A1A1A"/>
                <w:sz w:val="19"/>
                <w:szCs w:val="19"/>
              </w:rPr>
              <w:t xml:space="preserve">PostgreSQL + PostGIS</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Transactional integrity for verification records. Geospatial for map, radius search, and acquisition-zone overlap.</w:t>
            </w:r>
          </w:p>
        </w:tc>
      </w:tr>
      <w:tr>
        <w:tc>
          <w:tcPr>
            <w:tcW w:type="dxa" w:w="1656"/>
            <w:tcMar>
              <w:top w:type="dxa" w:w="80"/>
              <w:left w:type="dxa" w:w="110"/>
              <w:bottom w:type="dxa" w:w="80"/>
              <w:right w:type="dxa" w:w="110"/>
            </w:tcMar>
          </w:tcPr>
          <w:p>
            <w:pPr>
              <w:spacing w:after="0" w:line="260"/>
            </w:pPr>
            <w:r>
              <w:rPr>
                <w:b/>
                <w:bCs/>
                <w:i w:val="false"/>
                <w:iCs w:val="false"/>
                <w:color w:val="1A1A1A"/>
                <w:sz w:val="19"/>
                <w:szCs w:val="19"/>
              </w:rPr>
              <w:t xml:space="preserve">ORM</w:t>
            </w:r>
          </w:p>
        </w:tc>
        <w:tc>
          <w:tcPr>
            <w:tcW w:type="dxa" w:w="2808"/>
            <w:tcMar>
              <w:top w:type="dxa" w:w="80"/>
              <w:left w:type="dxa" w:w="110"/>
              <w:bottom w:type="dxa" w:w="80"/>
              <w:right w:type="dxa" w:w="110"/>
            </w:tcMar>
          </w:tcPr>
          <w:p>
            <w:pPr>
              <w:spacing w:after="0" w:line="260"/>
            </w:pPr>
            <w:r>
              <w:rPr>
                <w:b w:val="false"/>
                <w:bCs w:val="false"/>
                <w:i w:val="false"/>
                <w:iCs w:val="false"/>
                <w:color w:val="1A1A1A"/>
                <w:sz w:val="19"/>
                <w:szCs w:val="19"/>
              </w:rPr>
              <w:t xml:space="preserve">TypeORM</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Native PostGIS support and first-class Nest integration. Migrations from Step 2 onward — synchronize is skeleton-only.</w:t>
            </w:r>
          </w:p>
        </w:tc>
      </w:tr>
      <w:tr>
        <w:tc>
          <w:tcPr>
            <w:tcW w:type="dxa" w:w="1656"/>
            <w:tcMar>
              <w:top w:type="dxa" w:w="80"/>
              <w:left w:type="dxa" w:w="110"/>
              <w:bottom w:type="dxa" w:w="80"/>
              <w:right w:type="dxa" w:w="110"/>
            </w:tcMar>
          </w:tcPr>
          <w:p>
            <w:pPr>
              <w:spacing w:after="0" w:line="260"/>
            </w:pPr>
            <w:r>
              <w:rPr>
                <w:b/>
                <w:bCs/>
                <w:i w:val="false"/>
                <w:iCs w:val="false"/>
                <w:color w:val="1A1A1A"/>
                <w:sz w:val="19"/>
                <w:szCs w:val="19"/>
              </w:rPr>
              <w:t xml:space="preserve">Cache / queues</w:t>
            </w:r>
          </w:p>
        </w:tc>
        <w:tc>
          <w:tcPr>
            <w:tcW w:type="dxa" w:w="2808"/>
            <w:tcMar>
              <w:top w:type="dxa" w:w="80"/>
              <w:left w:type="dxa" w:w="110"/>
              <w:bottom w:type="dxa" w:w="80"/>
              <w:right w:type="dxa" w:w="110"/>
            </w:tcMar>
          </w:tcPr>
          <w:p>
            <w:pPr>
              <w:spacing w:after="0" w:line="260"/>
            </w:pPr>
            <w:r>
              <w:rPr>
                <w:b w:val="false"/>
                <w:bCs w:val="false"/>
                <w:i w:val="false"/>
                <w:iCs w:val="false"/>
                <w:color w:val="1A1A1A"/>
                <w:sz w:val="19"/>
                <w:szCs w:val="19"/>
              </w:rPr>
              <w:t xml:space="preserve">Redis</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Caching, background jobs, rate limiting.</w:t>
            </w:r>
          </w:p>
        </w:tc>
      </w:tr>
      <w:tr>
        <w:tc>
          <w:tcPr>
            <w:tcW w:type="dxa" w:w="1656"/>
            <w:tcMar>
              <w:top w:type="dxa" w:w="80"/>
              <w:left w:type="dxa" w:w="110"/>
              <w:bottom w:type="dxa" w:w="80"/>
              <w:right w:type="dxa" w:w="110"/>
            </w:tcMar>
          </w:tcPr>
          <w:p>
            <w:pPr>
              <w:spacing w:after="0" w:line="260"/>
            </w:pPr>
            <w:r>
              <w:rPr>
                <w:b/>
                <w:bCs/>
                <w:i w:val="false"/>
                <w:iCs w:val="false"/>
                <w:color w:val="1A1A1A"/>
                <w:sz w:val="19"/>
                <w:szCs w:val="19"/>
              </w:rPr>
              <w:t xml:space="preserve">Search</w:t>
            </w:r>
          </w:p>
        </w:tc>
        <w:tc>
          <w:tcPr>
            <w:tcW w:type="dxa" w:w="2808"/>
            <w:tcMar>
              <w:top w:type="dxa" w:w="80"/>
              <w:left w:type="dxa" w:w="110"/>
              <w:bottom w:type="dxa" w:w="80"/>
              <w:right w:type="dxa" w:w="110"/>
            </w:tcMar>
          </w:tcPr>
          <w:p>
            <w:pPr>
              <w:spacing w:after="0" w:line="260"/>
            </w:pPr>
            <w:r>
              <w:rPr>
                <w:b w:val="false"/>
                <w:bCs w:val="false"/>
                <w:i w:val="false"/>
                <w:iCs w:val="false"/>
                <w:color w:val="1A1A1A"/>
                <w:sz w:val="19"/>
                <w:szCs w:val="19"/>
              </w:rPr>
              <w:t xml:space="preserve">Typesense</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Typo-tolerant landmark autocomplete. Materially cheaper to run than Elasticsearch at this scale.</w:t>
            </w:r>
          </w:p>
        </w:tc>
      </w:tr>
      <w:tr>
        <w:tc>
          <w:tcPr>
            <w:tcW w:type="dxa" w:w="1656"/>
            <w:tcMar>
              <w:top w:type="dxa" w:w="80"/>
              <w:left w:type="dxa" w:w="110"/>
              <w:bottom w:type="dxa" w:w="80"/>
              <w:right w:type="dxa" w:w="110"/>
            </w:tcMar>
          </w:tcPr>
          <w:p>
            <w:pPr>
              <w:spacing w:after="0" w:line="260"/>
            </w:pPr>
            <w:r>
              <w:rPr>
                <w:b/>
                <w:bCs/>
                <w:i w:val="false"/>
                <w:iCs w:val="false"/>
                <w:color w:val="1A1A1A"/>
                <w:sz w:val="19"/>
                <w:szCs w:val="19"/>
              </w:rPr>
              <w:t xml:space="preserve">Object storage</w:t>
            </w:r>
          </w:p>
        </w:tc>
        <w:tc>
          <w:tcPr>
            <w:tcW w:type="dxa" w:w="2808"/>
            <w:tcMar>
              <w:top w:type="dxa" w:w="80"/>
              <w:left w:type="dxa" w:w="110"/>
              <w:bottom w:type="dxa" w:w="80"/>
              <w:right w:type="dxa" w:w="110"/>
            </w:tcMar>
          </w:tcPr>
          <w:p>
            <w:pPr>
              <w:spacing w:after="0" w:line="260"/>
            </w:pPr>
            <w:r>
              <w:rPr>
                <w:b w:val="false"/>
                <w:bCs w:val="false"/>
                <w:i w:val="false"/>
                <w:iCs w:val="false"/>
                <w:color w:val="1A1A1A"/>
                <w:sz w:val="19"/>
                <w:szCs w:val="19"/>
              </w:rPr>
              <w:t xml:space="preserve">Cloudflare R2</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Media and documents. Zero egress fees, which matters when serving image-heavy content.</w:t>
            </w:r>
          </w:p>
        </w:tc>
      </w:tr>
      <w:tr>
        <w:tc>
          <w:tcPr>
            <w:tcW w:type="dxa" w:w="1656"/>
            <w:tcMar>
              <w:top w:type="dxa" w:w="80"/>
              <w:left w:type="dxa" w:w="110"/>
              <w:bottom w:type="dxa" w:w="80"/>
              <w:right w:type="dxa" w:w="110"/>
            </w:tcMar>
          </w:tcPr>
          <w:p>
            <w:pPr>
              <w:spacing w:after="0" w:line="260"/>
            </w:pPr>
            <w:r>
              <w:rPr>
                <w:b/>
                <w:bCs/>
                <w:i w:val="false"/>
                <w:iCs w:val="false"/>
                <w:color w:val="1A1A1A"/>
                <w:sz w:val="19"/>
                <w:szCs w:val="19"/>
              </w:rPr>
              <w:t xml:space="preserve">CDN / images</w:t>
            </w:r>
          </w:p>
        </w:tc>
        <w:tc>
          <w:tcPr>
            <w:tcW w:type="dxa" w:w="2808"/>
            <w:tcMar>
              <w:top w:type="dxa" w:w="80"/>
              <w:left w:type="dxa" w:w="110"/>
              <w:bottom w:type="dxa" w:w="80"/>
              <w:right w:type="dxa" w:w="110"/>
            </w:tcMar>
          </w:tcPr>
          <w:p>
            <w:pPr>
              <w:spacing w:after="0" w:line="260"/>
            </w:pPr>
            <w:r>
              <w:rPr>
                <w:b w:val="false"/>
                <w:bCs w:val="false"/>
                <w:i w:val="false"/>
                <w:iCs w:val="false"/>
                <w:color w:val="1A1A1A"/>
                <w:sz w:val="19"/>
                <w:szCs w:val="19"/>
              </w:rPr>
              <w:t xml:space="preserve">Cloudflare</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Edge caching and multi-size WebP/AVIF derivatives. Central to the low-data strategy.</w:t>
            </w:r>
          </w:p>
        </w:tc>
      </w:tr>
      <w:tr>
        <w:tc>
          <w:tcPr>
            <w:tcW w:type="dxa" w:w="1656"/>
            <w:tcMar>
              <w:top w:type="dxa" w:w="80"/>
              <w:left w:type="dxa" w:w="110"/>
              <w:bottom w:type="dxa" w:w="80"/>
              <w:right w:type="dxa" w:w="110"/>
            </w:tcMar>
          </w:tcPr>
          <w:p>
            <w:pPr>
              <w:spacing w:after="0" w:line="260"/>
            </w:pPr>
            <w:r>
              <w:rPr>
                <w:b/>
                <w:bCs/>
                <w:i w:val="false"/>
                <w:iCs w:val="false"/>
                <w:color w:val="1A1A1A"/>
                <w:sz w:val="19"/>
                <w:szCs w:val="19"/>
              </w:rPr>
              <w:t xml:space="preserve">Payments</w:t>
            </w:r>
          </w:p>
        </w:tc>
        <w:tc>
          <w:tcPr>
            <w:tcW w:type="dxa" w:w="2808"/>
            <w:tcMar>
              <w:top w:type="dxa" w:w="80"/>
              <w:left w:type="dxa" w:w="110"/>
              <w:bottom w:type="dxa" w:w="80"/>
              <w:right w:type="dxa" w:w="110"/>
            </w:tcMar>
          </w:tcPr>
          <w:p>
            <w:pPr>
              <w:spacing w:after="0" w:line="260"/>
            </w:pPr>
            <w:r>
              <w:rPr>
                <w:b w:val="false"/>
                <w:bCs w:val="false"/>
                <w:i w:val="false"/>
                <w:iCs w:val="false"/>
                <w:color w:val="1A1A1A"/>
                <w:sz w:val="19"/>
                <w:szCs w:val="19"/>
              </w:rPr>
              <w:t xml:space="preserve">Paystack</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Proven Nigerian rails: cards, transfers, USSD. Phase 1 uses it only for verification and inspection fees.</w:t>
            </w:r>
          </w:p>
        </w:tc>
      </w:tr>
      <w:tr>
        <w:tc>
          <w:tcPr>
            <w:tcW w:type="dxa" w:w="1656"/>
            <w:tcMar>
              <w:top w:type="dxa" w:w="80"/>
              <w:left w:type="dxa" w:w="110"/>
              <w:bottom w:type="dxa" w:w="80"/>
              <w:right w:type="dxa" w:w="110"/>
            </w:tcMar>
          </w:tcPr>
          <w:p>
            <w:pPr>
              <w:spacing w:after="0" w:line="260"/>
            </w:pPr>
            <w:r>
              <w:rPr>
                <w:b/>
                <w:bCs/>
                <w:i w:val="false"/>
                <w:iCs w:val="false"/>
                <w:color w:val="1A1A1A"/>
                <w:sz w:val="19"/>
                <w:szCs w:val="19"/>
              </w:rPr>
              <w:t xml:space="preserve">Messaging</w:t>
            </w:r>
          </w:p>
        </w:tc>
        <w:tc>
          <w:tcPr>
            <w:tcW w:type="dxa" w:w="2808"/>
            <w:tcMar>
              <w:top w:type="dxa" w:w="80"/>
              <w:left w:type="dxa" w:w="110"/>
              <w:bottom w:type="dxa" w:w="80"/>
              <w:right w:type="dxa" w:w="110"/>
            </w:tcMar>
          </w:tcPr>
          <w:p>
            <w:pPr>
              <w:spacing w:after="0" w:line="260"/>
            </w:pPr>
            <w:r>
              <w:rPr>
                <w:b w:val="false"/>
                <w:bCs w:val="false"/>
                <w:i w:val="false"/>
                <w:iCs w:val="false"/>
                <w:color w:val="1A1A1A"/>
                <w:sz w:val="19"/>
                <w:szCs w:val="19"/>
              </w:rPr>
              <w:t xml:space="preserve">WhatsApp Business API via a BSP</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360dialog, Twilio, or Termii. Self-serve WhatsApp does not scale; a BSP is required.</w:t>
            </w:r>
          </w:p>
        </w:tc>
      </w:tr>
      <w:tr>
        <w:tc>
          <w:tcPr>
            <w:tcW w:type="dxa" w:w="1656"/>
            <w:tcMar>
              <w:top w:type="dxa" w:w="80"/>
              <w:left w:type="dxa" w:w="110"/>
              <w:bottom w:type="dxa" w:w="80"/>
              <w:right w:type="dxa" w:w="110"/>
            </w:tcMar>
          </w:tcPr>
          <w:p>
            <w:pPr>
              <w:spacing w:after="0" w:line="260"/>
            </w:pPr>
            <w:r>
              <w:rPr>
                <w:b/>
                <w:bCs/>
                <w:i w:val="false"/>
                <w:iCs w:val="false"/>
                <w:color w:val="1A1A1A"/>
                <w:sz w:val="19"/>
                <w:szCs w:val="19"/>
              </w:rPr>
              <w:t xml:space="preserve">Identity / KYC</w:t>
            </w:r>
          </w:p>
        </w:tc>
        <w:tc>
          <w:tcPr>
            <w:tcW w:type="dxa" w:w="2808"/>
            <w:tcMar>
              <w:top w:type="dxa" w:w="80"/>
              <w:left w:type="dxa" w:w="110"/>
              <w:bottom w:type="dxa" w:w="80"/>
              <w:right w:type="dxa" w:w="110"/>
            </w:tcMar>
          </w:tcPr>
          <w:p>
            <w:pPr>
              <w:spacing w:after="0" w:line="260"/>
            </w:pPr>
            <w:r>
              <w:rPr>
                <w:b w:val="false"/>
                <w:bCs w:val="false"/>
                <w:i w:val="false"/>
                <w:iCs w:val="false"/>
                <w:color w:val="1A1A1A"/>
                <w:sz w:val="19"/>
                <w:szCs w:val="19"/>
              </w:rPr>
              <w:t xml:space="preserve">Licensed provider (Smile ID / Dojah)</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NIN and BVN verification plus liveness. Regulated identity checks — never build this.</w:t>
            </w:r>
          </w:p>
        </w:tc>
      </w:tr>
      <w:tr>
        <w:tc>
          <w:tcPr>
            <w:tcW w:type="dxa" w:w="1656"/>
            <w:tcMar>
              <w:top w:type="dxa" w:w="80"/>
              <w:left w:type="dxa" w:w="110"/>
              <w:bottom w:type="dxa" w:w="80"/>
              <w:right w:type="dxa" w:w="110"/>
            </w:tcMar>
          </w:tcPr>
          <w:p>
            <w:pPr>
              <w:spacing w:after="0" w:line="260"/>
            </w:pPr>
            <w:r>
              <w:rPr>
                <w:b/>
                <w:bCs/>
                <w:i w:val="false"/>
                <w:iCs w:val="false"/>
                <w:color w:val="1A1A1A"/>
                <w:sz w:val="19"/>
                <w:szCs w:val="19"/>
              </w:rPr>
              <w:t xml:space="preserve">Escrow</w:t>
            </w:r>
          </w:p>
        </w:tc>
        <w:tc>
          <w:tcPr>
            <w:tcW w:type="dxa" w:w="2808"/>
            <w:tcMar>
              <w:top w:type="dxa" w:w="80"/>
              <w:left w:type="dxa" w:w="110"/>
              <w:bottom w:type="dxa" w:w="80"/>
              <w:right w:type="dxa" w:w="110"/>
            </w:tcMar>
          </w:tcPr>
          <w:p>
            <w:pPr>
              <w:spacing w:after="0" w:line="260"/>
            </w:pPr>
            <w:r>
              <w:rPr>
                <w:b w:val="false"/>
                <w:bCs w:val="false"/>
                <w:i w:val="false"/>
                <w:iCs w:val="false"/>
                <w:color w:val="1A1A1A"/>
                <w:sz w:val="19"/>
                <w:szCs w:val="19"/>
              </w:rPr>
              <w:t xml:space="preserve">Licensed third-party partner (Phase 2)</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Regulatory. Never hold funds directly.</w:t>
            </w:r>
          </w:p>
        </w:tc>
      </w:tr>
      <w:tr>
        <w:tc>
          <w:tcPr>
            <w:tcW w:type="dxa" w:w="1656"/>
            <w:tcMar>
              <w:top w:type="dxa" w:w="80"/>
              <w:left w:type="dxa" w:w="110"/>
              <w:bottom w:type="dxa" w:w="80"/>
              <w:right w:type="dxa" w:w="110"/>
            </w:tcMar>
          </w:tcPr>
          <w:p>
            <w:pPr>
              <w:spacing w:after="0" w:line="260"/>
            </w:pPr>
            <w:r>
              <w:rPr>
                <w:b/>
                <w:bCs/>
                <w:i w:val="false"/>
                <w:iCs w:val="false"/>
                <w:color w:val="1A1A1A"/>
                <w:sz w:val="19"/>
                <w:szCs w:val="19"/>
              </w:rPr>
              <w:t xml:space="preserve">Infra</w:t>
            </w:r>
          </w:p>
        </w:tc>
        <w:tc>
          <w:tcPr>
            <w:tcW w:type="dxa" w:w="2808"/>
            <w:tcMar>
              <w:top w:type="dxa" w:w="80"/>
              <w:left w:type="dxa" w:w="110"/>
              <w:bottom w:type="dxa" w:w="80"/>
              <w:right w:type="dxa" w:w="110"/>
            </w:tcMar>
          </w:tcPr>
          <w:p>
            <w:pPr>
              <w:spacing w:after="0" w:line="260"/>
            </w:pPr>
            <w:r>
              <w:rPr>
                <w:b w:val="false"/>
                <w:bCs w:val="false"/>
                <w:i w:val="false"/>
                <w:iCs w:val="false"/>
                <w:color w:val="1A1A1A"/>
                <w:sz w:val="19"/>
                <w:szCs w:val="19"/>
              </w:rPr>
              <w:t xml:space="preserve">Managed Postgres (Neon / Supabase) + containers (Railway / Render)</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Start simple. Scale the boring parts later, when there is revenue to pay for them.</w:t>
            </w:r>
          </w:p>
        </w:tc>
      </w:tr>
      <w:tr>
        <w:tc>
          <w:tcPr>
            <w:tcW w:type="dxa" w:w="1656"/>
            <w:tcMar>
              <w:top w:type="dxa" w:w="80"/>
              <w:left w:type="dxa" w:w="110"/>
              <w:bottom w:type="dxa" w:w="80"/>
              <w:right w:type="dxa" w:w="110"/>
            </w:tcMar>
          </w:tcPr>
          <w:p>
            <w:pPr>
              <w:spacing w:after="0" w:line="260"/>
            </w:pPr>
            <w:r>
              <w:rPr>
                <w:b/>
                <w:bCs/>
                <w:i w:val="false"/>
                <w:iCs w:val="false"/>
                <w:color w:val="1A1A1A"/>
                <w:sz w:val="19"/>
                <w:szCs w:val="19"/>
              </w:rPr>
              <w:t xml:space="preserve">Admin panel</w:t>
            </w:r>
          </w:p>
        </w:tc>
        <w:tc>
          <w:tcPr>
            <w:tcW w:type="dxa" w:w="2808"/>
            <w:tcMar>
              <w:top w:type="dxa" w:w="80"/>
              <w:left w:type="dxa" w:w="110"/>
              <w:bottom w:type="dxa" w:w="80"/>
              <w:right w:type="dxa" w:w="110"/>
            </w:tcMar>
          </w:tcPr>
          <w:p>
            <w:pPr>
              <w:spacing w:after="0" w:line="260"/>
            </w:pPr>
            <w:r>
              <w:rPr>
                <w:b w:val="false"/>
                <w:bCs w:val="false"/>
                <w:i w:val="false"/>
                <w:iCs w:val="false"/>
                <w:color w:val="1A1A1A"/>
                <w:sz w:val="19"/>
                <w:szCs w:val="19"/>
              </w:rPr>
              <w:t xml:space="preserve">Lightweight internal React app</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Verification review, fraud triage, and dispute handling need real internal UI from day one.</w:t>
            </w:r>
          </w:p>
        </w:tc>
      </w:tr>
    </w:tbl>
    <w:p>
      <w:pPr>
        <w:spacing w:after="160"/>
      </w:pPr>
      <w:r>
        <w:rPr>
          <w:sz w:val="2"/>
          <w:szCs w:val="2"/>
        </w:rPr>
        <w:t xml:space="preserve"/>
      </w:r>
    </w:p>
    <w:p>
      <w:pPr>
        <w:pStyle w:val="Heading1"/>
        <w:spacing w:after="160" w:before="360"/>
      </w:pPr>
      <w:r>
        <w:rPr>
          <w:b/>
          <w:bCs/>
          <w:i w:val="false"/>
          <w:iCs w:val="false"/>
          <w:color w:val="1F4E5F"/>
          <w:sz w:val="30"/>
          <w:szCs w:val="30"/>
        </w:rPr>
        <w:t xml:space="preserve">Architecture overview</w:t>
      </w:r>
    </w:p>
    <w:p>
      <w:pPr>
        <w:spacing w:after="140" w:line="280"/>
      </w:pPr>
      <w:r>
        <w:rPr>
          <w:b w:val="false"/>
          <w:bCs w:val="false"/>
          <w:i w:val="false"/>
          <w:iCs w:val="false"/>
          <w:color w:val="1A1A1A"/>
          <w:sz w:val="21"/>
          <w:szCs w:val="21"/>
        </w:rPr>
        <w:t xml:space="preserve">A single NestJS backend organised into clear internal modules — not separate services — talking to PostgreSQL/PostGIS, with Redis for caching and background jobs, and every external partner behind an adapter interface so it can be swapped.</w:t>
      </w:r>
    </w:p>
    <w:p>
      <w:pPr>
        <w:pStyle w:val="Heading3"/>
        <w:spacing w:after="100" w:before="200"/>
      </w:pPr>
      <w:r>
        <w:rPr>
          <w:b/>
          <w:bCs/>
          <w:i w:val="false"/>
          <w:iCs w:val="false"/>
          <w:color w:val="333333"/>
          <w:sz w:val="21"/>
          <w:szCs w:val="21"/>
        </w:rPr>
        <w:t xml:space="preserve">Clients</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3744"/>
        <w:gridCol w:w="5616"/>
      </w:tblGrid>
      <w:tr>
        <w:trPr>
          <w:tblHeader/>
        </w:trPr>
        <w:tc>
          <w:tcPr>
            <w:tcW w:type="dxa" w:w="3744"/>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Client</w:t>
            </w:r>
          </w:p>
        </w:tc>
        <w:tc>
          <w:tcPr>
            <w:tcW w:type="dxa" w:w="5616"/>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Purpose</w:t>
            </w:r>
          </w:p>
        </w:tc>
      </w:tr>
      <w:tr>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React Native app (Android + iOS)</w:t>
            </w:r>
          </w:p>
        </w:tc>
        <w:tc>
          <w:tcPr>
            <w:tcW w:type="dxa" w:w="5616"/>
            <w:tcMar>
              <w:top w:type="dxa" w:w="80"/>
              <w:left w:type="dxa" w:w="110"/>
              <w:bottom w:type="dxa" w:w="80"/>
              <w:right w:type="dxa" w:w="110"/>
            </w:tcMar>
          </w:tcPr>
          <w:p>
            <w:pPr>
              <w:spacing w:after="0" w:line="260"/>
            </w:pPr>
            <w:r>
              <w:rPr>
                <w:b w:val="false"/>
                <w:bCs w:val="false"/>
                <w:i w:val="false"/>
                <w:iCs w:val="false"/>
                <w:color w:val="1A1A1A"/>
                <w:sz w:val="19"/>
                <w:szCs w:val="19"/>
              </w:rPr>
              <w:t xml:space="preserve">The product. Buyers, renters, agents, and firms.</w:t>
            </w:r>
          </w:p>
        </w:tc>
      </w:tr>
      <w:tr>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Admin panel (web)</w:t>
            </w:r>
          </w:p>
        </w:tc>
        <w:tc>
          <w:tcPr>
            <w:tcW w:type="dxa" w:w="5616"/>
            <w:tcMar>
              <w:top w:type="dxa" w:w="80"/>
              <w:left w:type="dxa" w:w="110"/>
              <w:bottom w:type="dxa" w:w="80"/>
              <w:right w:type="dxa" w:w="110"/>
            </w:tcMar>
          </w:tcPr>
          <w:p>
            <w:pPr>
              <w:spacing w:after="0" w:line="260"/>
            </w:pPr>
            <w:r>
              <w:rPr>
                <w:b w:val="false"/>
                <w:bCs w:val="false"/>
                <w:i w:val="false"/>
                <w:iCs w:val="false"/>
                <w:color w:val="1A1A1A"/>
                <w:sz w:val="19"/>
                <w:szCs w:val="19"/>
              </w:rPr>
              <w:t xml:space="preserve">Internal only. Verification review, fraud triage, dispute handling.</w:t>
            </w:r>
          </w:p>
        </w:tc>
      </w:tr>
    </w:tbl>
    <w:p>
      <w:pPr>
        <w:spacing w:after="140"/>
      </w:pPr>
      <w:r>
        <w:rPr>
          <w:sz w:val="2"/>
          <w:szCs w:val="2"/>
        </w:rPr>
        <w:t xml:space="preserve"/>
      </w:r>
    </w:p>
    <w:p>
      <w:pPr>
        <w:spacing w:after="140" w:line="280"/>
      </w:pPr>
      <w:r>
        <w:rPr>
          <w:b w:val="false"/>
          <w:bCs w:val="false"/>
          <w:i w:val="false"/>
          <w:iCs w:val="false"/>
          <w:color w:val="1A1A1A"/>
          <w:sz w:val="21"/>
          <w:szCs w:val="21"/>
        </w:rPr>
        <w:t xml:space="preserve">Both talk to one backend over HTTPS/REST.</w:t>
      </w:r>
    </w:p>
    <w:p>
      <w:pPr>
        <w:pStyle w:val="Heading3"/>
        <w:spacing w:after="100" w:before="200"/>
      </w:pPr>
      <w:r>
        <w:rPr>
          <w:b/>
          <w:bCs/>
          <w:i w:val="false"/>
          <w:iCs w:val="false"/>
          <w:color w:val="333333"/>
          <w:sz w:val="21"/>
          <w:szCs w:val="21"/>
        </w:rPr>
        <w:t xml:space="preserve">NestJS backend — internal modules</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520"/>
        <w:gridCol w:w="6048"/>
        <w:gridCol w:w="792"/>
      </w:tblGrid>
      <w:tr>
        <w:trPr>
          <w:tblHeader/>
        </w:trPr>
        <w:tc>
          <w:tcPr>
            <w:tcW w:type="dxa" w:w="2520"/>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Module</w:t>
            </w:r>
          </w:p>
        </w:tc>
        <w:tc>
          <w:tcPr>
            <w:tcW w:type="dxa" w:w="6048"/>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Responsibility</w:t>
            </w:r>
          </w:p>
        </w:tc>
        <w:tc>
          <w:tcPr>
            <w:tcW w:type="dxa" w:w="792"/>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Phase</w:t>
            </w:r>
          </w:p>
        </w:tc>
      </w:tr>
      <w:tr>
        <w:tc>
          <w:tcPr>
            <w:tcW w:type="dxa" w:w="25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Auth &amp; KYC</w:t>
            </w:r>
          </w:p>
        </w:tc>
        <w:tc>
          <w:tcPr>
            <w:tcW w:type="dxa" w:w="6048"/>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Identity levels L0–L4, OTP, KYC provider calls.</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25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Listings &amp; Media</w:t>
            </w:r>
          </w:p>
        </w:tc>
        <w:tc>
          <w:tcPr>
            <w:tcW w:type="dxa" w:w="6048"/>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Listing CRUD, media upload, derivative generation.</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25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Search</w:t>
            </w:r>
          </w:p>
        </w:tc>
        <w:tc>
          <w:tcPr>
            <w:tcW w:type="dxa" w:w="6048"/>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Typesense index sync, landmark autocomplete, filters.</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25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Trust / Verification</w:t>
            </w:r>
          </w:p>
        </w:tc>
        <w:tc>
          <w:tcPr>
            <w:tcW w:type="dxa" w:w="6048"/>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Tiers, title-type labelling, verification records.</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25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Fee Ledger</w:t>
            </w:r>
          </w:p>
        </w:tc>
        <w:tc>
          <w:tcPr>
            <w:tcW w:type="dxa" w:w="6048"/>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Itemised fee lines, Total Cost of Acquisition.</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25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Inspections</w:t>
            </w:r>
          </w:p>
        </w:tc>
        <w:tc>
          <w:tcPr>
            <w:tcW w:type="dxa" w:w="6048"/>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Booking, reminders, certified reports.</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25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Messaging</w:t>
            </w:r>
          </w:p>
        </w:tc>
        <w:tc>
          <w:tcPr>
            <w:tcW w:type="dxa" w:w="6048"/>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In-app threads, proxied contact, WhatsApp dispatch.</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25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Fraud detection</w:t>
            </w:r>
          </w:p>
        </w:tc>
        <w:tc>
          <w:tcPr>
            <w:tcW w:type="dxa" w:w="6048"/>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pHash matching, duplicate titles, zone overlap, anomalies.</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25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Gazetteer</w:t>
            </w:r>
          </w:p>
        </w:tc>
        <w:tc>
          <w:tcPr>
            <w:tcW w:type="dxa" w:w="6048"/>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Estates, districts, landmarks, aliases, boundaries.</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25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Audit log</w:t>
            </w:r>
          </w:p>
        </w:tc>
        <w:tc>
          <w:tcPr>
            <w:tcW w:type="dxa" w:w="6048"/>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Append-only record of every admin and verification action.</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25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Admin APIs</w:t>
            </w:r>
          </w:p>
        </w:tc>
        <w:tc>
          <w:tcPr>
            <w:tcW w:type="dxa" w:w="6048"/>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Queues, role assignment, tier definitions.</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2520"/>
            <w:shd w:fill="FBEDE4" w:color="auto" w:val="clear"/>
            <w:tcMar>
              <w:top w:type="dxa" w:w="80"/>
              <w:left w:type="dxa" w:w="110"/>
              <w:bottom w:type="dxa" w:w="80"/>
              <w:right w:type="dxa" w:w="110"/>
            </w:tcMar>
          </w:tcPr>
          <w:p>
            <w:pPr>
              <w:spacing w:after="0" w:line="260"/>
            </w:pPr>
            <w:r>
              <w:rPr>
                <w:b/>
                <w:bCs/>
                <w:i w:val="false"/>
                <w:iCs w:val="false"/>
                <w:color w:val="1A1A1A"/>
                <w:sz w:val="19"/>
                <w:szCs w:val="19"/>
              </w:rPr>
              <w:t xml:space="preserve">Escrow · Contracts · Milestones</w:t>
            </w:r>
          </w:p>
        </w:tc>
        <w:tc>
          <w:tcPr>
            <w:tcW w:type="dxa" w:w="6048"/>
            <w:shd w:fill="FBEDE4"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Slots reserved in the architecture. Not built.</w:t>
            </w:r>
          </w:p>
        </w:tc>
        <w:tc>
          <w:tcPr>
            <w:tcW w:type="dxa" w:w="792"/>
            <w:shd w:fill="FBEDE4"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2</w:t>
            </w:r>
          </w:p>
        </w:tc>
      </w:tr>
    </w:tbl>
    <w:p>
      <w:pPr>
        <w:spacing w:after="140"/>
      </w:pPr>
      <w:r>
        <w:rPr>
          <w:sz w:val="2"/>
          <w:szCs w:val="2"/>
        </w:rPr>
        <w:t xml:space="preserve"/>
      </w:r>
    </w:p>
    <w:p>
      <w:pPr>
        <w:pStyle w:val="Heading3"/>
        <w:spacing w:after="100" w:before="200"/>
      </w:pPr>
      <w:r>
        <w:rPr>
          <w:b/>
          <w:bCs/>
          <w:i w:val="false"/>
          <w:iCs w:val="false"/>
          <w:color w:val="333333"/>
          <w:sz w:val="21"/>
          <w:szCs w:val="21"/>
        </w:rPr>
        <w:t xml:space="preserve">Background workers (Redis queue)</w:t>
      </w:r>
    </w:p>
    <w:p>
      <w:pPr>
        <w:spacing w:after="140" w:line="280"/>
      </w:pPr>
      <w:r>
        <w:rPr>
          <w:b w:val="false"/>
          <w:bCs w:val="false"/>
          <w:i w:val="false"/>
          <w:iCs w:val="false"/>
          <w:color w:val="1A1A1A"/>
          <w:sz w:val="21"/>
          <w:szCs w:val="21"/>
        </w:rPr>
        <w:t xml:space="preserve">Image derivative generation · perceptual-hash fraud scanning · search index sync · WhatsApp and notification dispatch. Nothing that blocks a user request runs inline.</w:t>
      </w:r>
    </w:p>
    <w:p>
      <w:pPr>
        <w:pStyle w:val="Heading3"/>
        <w:spacing w:after="100" w:before="200"/>
      </w:pPr>
      <w:r>
        <w:rPr>
          <w:b/>
          <w:bCs/>
          <w:i w:val="false"/>
          <w:iCs w:val="false"/>
          <w:color w:val="333333"/>
          <w:sz w:val="21"/>
          <w:szCs w:val="21"/>
        </w:rPr>
        <w:t xml:space="preserve">Data and external services</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1944"/>
        <w:gridCol w:w="3096"/>
        <w:gridCol w:w="4320"/>
      </w:tblGrid>
      <w:tr>
        <w:trPr>
          <w:tblHeader/>
        </w:trPr>
        <w:tc>
          <w:tcPr>
            <w:tcW w:type="dxa" w:w="1944"/>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Layer</w:t>
            </w:r>
          </w:p>
        </w:tc>
        <w:tc>
          <w:tcPr>
            <w:tcW w:type="dxa" w:w="3096"/>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Service</w:t>
            </w:r>
          </w:p>
        </w:tc>
        <w:tc>
          <w:tcPr>
            <w:tcW w:type="dxa" w:w="4320"/>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Holds</w:t>
            </w:r>
          </w:p>
        </w:tc>
      </w:tr>
      <w:tr>
        <w:tc>
          <w:tcPr>
            <w:tcW w:type="dxa" w:w="1944"/>
            <w:tcMar>
              <w:top w:type="dxa" w:w="80"/>
              <w:left w:type="dxa" w:w="110"/>
              <w:bottom w:type="dxa" w:w="80"/>
              <w:right w:type="dxa" w:w="110"/>
            </w:tcMar>
          </w:tcPr>
          <w:p>
            <w:pPr>
              <w:spacing w:after="0" w:line="260"/>
            </w:pPr>
            <w:r>
              <w:rPr>
                <w:b/>
                <w:bCs/>
                <w:i w:val="false"/>
                <w:iCs w:val="false"/>
                <w:color w:val="1A1A1A"/>
                <w:sz w:val="19"/>
                <w:szCs w:val="19"/>
              </w:rPr>
              <w:t xml:space="preserve">Primary store</w:t>
            </w:r>
          </w:p>
        </w:tc>
        <w:tc>
          <w:tcPr>
            <w:tcW w:type="dxa" w:w="3096"/>
            <w:tcMar>
              <w:top w:type="dxa" w:w="80"/>
              <w:left w:type="dxa" w:w="110"/>
              <w:bottom w:type="dxa" w:w="80"/>
              <w:right w:type="dxa" w:w="110"/>
            </w:tcMar>
          </w:tcPr>
          <w:p>
            <w:pPr>
              <w:spacing w:after="0" w:line="260"/>
            </w:pPr>
            <w:r>
              <w:rPr>
                <w:b w:val="false"/>
                <w:bCs w:val="false"/>
                <w:i w:val="false"/>
                <w:iCs w:val="false"/>
                <w:color w:val="1A1A1A"/>
                <w:sz w:val="19"/>
                <w:szCs w:val="19"/>
              </w:rPr>
              <w:t xml:space="preserve">PostgreSQL + PostGIS</w:t>
            </w:r>
          </w:p>
        </w:tc>
        <w:tc>
          <w:tcPr>
            <w:tcW w:type="dxa" w:w="4320"/>
            <w:tcMar>
              <w:top w:type="dxa" w:w="80"/>
              <w:left w:type="dxa" w:w="110"/>
              <w:bottom w:type="dxa" w:w="80"/>
              <w:right w:type="dxa" w:w="110"/>
            </w:tcMar>
          </w:tcPr>
          <w:p>
            <w:pPr>
              <w:spacing w:after="0" w:line="260"/>
            </w:pPr>
            <w:r>
              <w:rPr>
                <w:b w:val="false"/>
                <w:bCs w:val="false"/>
                <w:i w:val="false"/>
                <w:iCs w:val="false"/>
                <w:color w:val="1A1A1A"/>
                <w:sz w:val="19"/>
                <w:szCs w:val="19"/>
              </w:rPr>
              <w:t xml:space="preserve">Users, listings, verifications, fees, audit log, geometry.</w:t>
            </w:r>
          </w:p>
        </w:tc>
      </w:tr>
      <w:tr>
        <w:tc>
          <w:tcPr>
            <w:tcW w:type="dxa" w:w="1944"/>
            <w:tcMar>
              <w:top w:type="dxa" w:w="80"/>
              <w:left w:type="dxa" w:w="110"/>
              <w:bottom w:type="dxa" w:w="80"/>
              <w:right w:type="dxa" w:w="110"/>
            </w:tcMar>
          </w:tcPr>
          <w:p>
            <w:pPr>
              <w:spacing w:after="0" w:line="260"/>
            </w:pPr>
            <w:r>
              <w:rPr>
                <w:b/>
                <w:bCs/>
                <w:i w:val="false"/>
                <w:iCs w:val="false"/>
                <w:color w:val="1A1A1A"/>
                <w:sz w:val="19"/>
                <w:szCs w:val="19"/>
              </w:rPr>
              <w:t xml:space="preserve">Cache / queue</w:t>
            </w:r>
          </w:p>
        </w:tc>
        <w:tc>
          <w:tcPr>
            <w:tcW w:type="dxa" w:w="3096"/>
            <w:tcMar>
              <w:top w:type="dxa" w:w="80"/>
              <w:left w:type="dxa" w:w="110"/>
              <w:bottom w:type="dxa" w:w="80"/>
              <w:right w:type="dxa" w:w="110"/>
            </w:tcMar>
          </w:tcPr>
          <w:p>
            <w:pPr>
              <w:spacing w:after="0" w:line="260"/>
            </w:pPr>
            <w:r>
              <w:rPr>
                <w:b w:val="false"/>
                <w:bCs w:val="false"/>
                <w:i w:val="false"/>
                <w:iCs w:val="false"/>
                <w:color w:val="1A1A1A"/>
                <w:sz w:val="19"/>
                <w:szCs w:val="19"/>
              </w:rPr>
              <w:t xml:space="preserve">Redis</w:t>
            </w:r>
          </w:p>
        </w:tc>
        <w:tc>
          <w:tcPr>
            <w:tcW w:type="dxa" w:w="4320"/>
            <w:tcMar>
              <w:top w:type="dxa" w:w="80"/>
              <w:left w:type="dxa" w:w="110"/>
              <w:bottom w:type="dxa" w:w="80"/>
              <w:right w:type="dxa" w:w="110"/>
            </w:tcMar>
          </w:tcPr>
          <w:p>
            <w:pPr>
              <w:spacing w:after="0" w:line="260"/>
            </w:pPr>
            <w:r>
              <w:rPr>
                <w:b w:val="false"/>
                <w:bCs w:val="false"/>
                <w:i w:val="false"/>
                <w:iCs w:val="false"/>
                <w:color w:val="1A1A1A"/>
                <w:sz w:val="19"/>
                <w:szCs w:val="19"/>
              </w:rPr>
              <w:t xml:space="preserve">Session cache, background job queue, rate-limit counters.</w:t>
            </w:r>
          </w:p>
        </w:tc>
      </w:tr>
      <w:tr>
        <w:tc>
          <w:tcPr>
            <w:tcW w:type="dxa" w:w="1944"/>
            <w:tcMar>
              <w:top w:type="dxa" w:w="80"/>
              <w:left w:type="dxa" w:w="110"/>
              <w:bottom w:type="dxa" w:w="80"/>
              <w:right w:type="dxa" w:w="110"/>
            </w:tcMar>
          </w:tcPr>
          <w:p>
            <w:pPr>
              <w:spacing w:after="0" w:line="260"/>
            </w:pPr>
            <w:r>
              <w:rPr>
                <w:b/>
                <w:bCs/>
                <w:i w:val="false"/>
                <w:iCs w:val="false"/>
                <w:color w:val="1A1A1A"/>
                <w:sz w:val="19"/>
                <w:szCs w:val="19"/>
              </w:rPr>
              <w:t xml:space="preserve">Search index</w:t>
            </w:r>
          </w:p>
        </w:tc>
        <w:tc>
          <w:tcPr>
            <w:tcW w:type="dxa" w:w="3096"/>
            <w:tcMar>
              <w:top w:type="dxa" w:w="80"/>
              <w:left w:type="dxa" w:w="110"/>
              <w:bottom w:type="dxa" w:w="80"/>
              <w:right w:type="dxa" w:w="110"/>
            </w:tcMar>
          </w:tcPr>
          <w:p>
            <w:pPr>
              <w:spacing w:after="0" w:line="260"/>
            </w:pPr>
            <w:r>
              <w:rPr>
                <w:b w:val="false"/>
                <w:bCs w:val="false"/>
                <w:i w:val="false"/>
                <w:iCs w:val="false"/>
                <w:color w:val="1A1A1A"/>
                <w:sz w:val="19"/>
                <w:szCs w:val="19"/>
              </w:rPr>
              <w:t xml:space="preserve">Typesense</w:t>
            </w:r>
          </w:p>
        </w:tc>
        <w:tc>
          <w:tcPr>
            <w:tcW w:type="dxa" w:w="4320"/>
            <w:tcMar>
              <w:top w:type="dxa" w:w="80"/>
              <w:left w:type="dxa" w:w="110"/>
              <w:bottom w:type="dxa" w:w="80"/>
              <w:right w:type="dxa" w:w="110"/>
            </w:tcMar>
          </w:tcPr>
          <w:p>
            <w:pPr>
              <w:spacing w:after="0" w:line="260"/>
            </w:pPr>
            <w:r>
              <w:rPr>
                <w:b w:val="false"/>
                <w:bCs w:val="false"/>
                <w:i w:val="false"/>
                <w:iCs w:val="false"/>
                <w:color w:val="1A1A1A"/>
                <w:sz w:val="19"/>
                <w:szCs w:val="19"/>
              </w:rPr>
              <w:t xml:space="preserve">Denormalised listing and gazetteer index, synced from Postgres.</w:t>
            </w:r>
          </w:p>
        </w:tc>
      </w:tr>
      <w:tr>
        <w:tc>
          <w:tcPr>
            <w:tcW w:type="dxa" w:w="1944"/>
            <w:tcMar>
              <w:top w:type="dxa" w:w="80"/>
              <w:left w:type="dxa" w:w="110"/>
              <w:bottom w:type="dxa" w:w="80"/>
              <w:right w:type="dxa" w:w="110"/>
            </w:tcMar>
          </w:tcPr>
          <w:p>
            <w:pPr>
              <w:spacing w:after="0" w:line="260"/>
            </w:pPr>
            <w:r>
              <w:rPr>
                <w:b/>
                <w:bCs/>
                <w:i w:val="false"/>
                <w:iCs w:val="false"/>
                <w:color w:val="1A1A1A"/>
                <w:sz w:val="19"/>
                <w:szCs w:val="19"/>
              </w:rPr>
              <w:t xml:space="preserve">Object storage</w:t>
            </w:r>
          </w:p>
        </w:tc>
        <w:tc>
          <w:tcPr>
            <w:tcW w:type="dxa" w:w="3096"/>
            <w:tcMar>
              <w:top w:type="dxa" w:w="80"/>
              <w:left w:type="dxa" w:w="110"/>
              <w:bottom w:type="dxa" w:w="80"/>
              <w:right w:type="dxa" w:w="110"/>
            </w:tcMar>
          </w:tcPr>
          <w:p>
            <w:pPr>
              <w:spacing w:after="0" w:line="260"/>
            </w:pPr>
            <w:r>
              <w:rPr>
                <w:b w:val="false"/>
                <w:bCs w:val="false"/>
                <w:i w:val="false"/>
                <w:iCs w:val="false"/>
                <w:color w:val="1A1A1A"/>
                <w:sz w:val="19"/>
                <w:szCs w:val="19"/>
              </w:rPr>
              <w:t xml:space="preserve">Cloudflare R2 + CDN</w:t>
            </w:r>
          </w:p>
        </w:tc>
        <w:tc>
          <w:tcPr>
            <w:tcW w:type="dxa" w:w="4320"/>
            <w:tcMar>
              <w:top w:type="dxa" w:w="80"/>
              <w:left w:type="dxa" w:w="110"/>
              <w:bottom w:type="dxa" w:w="80"/>
              <w:right w:type="dxa" w:w="110"/>
            </w:tcMar>
          </w:tcPr>
          <w:p>
            <w:pPr>
              <w:spacing w:after="0" w:line="260"/>
            </w:pPr>
            <w:r>
              <w:rPr>
                <w:b w:val="false"/>
                <w:bCs w:val="false"/>
                <w:i w:val="false"/>
                <w:iCs w:val="false"/>
                <w:color w:val="1A1A1A"/>
                <w:sz w:val="19"/>
                <w:szCs w:val="19"/>
              </w:rPr>
              <w:t xml:space="preserve">Listing media, derivatives, title documents (signed URLs).</w:t>
            </w:r>
          </w:p>
        </w:tc>
      </w:tr>
      <w:tr>
        <w:tc>
          <w:tcPr>
            <w:tcW w:type="dxa" w:w="1944"/>
            <w:tcMar>
              <w:top w:type="dxa" w:w="80"/>
              <w:left w:type="dxa" w:w="110"/>
              <w:bottom w:type="dxa" w:w="80"/>
              <w:right w:type="dxa" w:w="110"/>
            </w:tcMar>
          </w:tcPr>
          <w:p>
            <w:pPr>
              <w:spacing w:after="0" w:line="260"/>
            </w:pPr>
            <w:r>
              <w:rPr>
                <w:b/>
                <w:bCs/>
                <w:i w:val="false"/>
                <w:iCs w:val="false"/>
                <w:color w:val="1A1A1A"/>
                <w:sz w:val="19"/>
                <w:szCs w:val="19"/>
              </w:rPr>
              <w:t xml:space="preserve">External partners</w:t>
            </w:r>
          </w:p>
        </w:tc>
        <w:tc>
          <w:tcPr>
            <w:tcW w:type="dxa" w:w="3096"/>
            <w:tcMar>
              <w:top w:type="dxa" w:w="80"/>
              <w:left w:type="dxa" w:w="110"/>
              <w:bottom w:type="dxa" w:w="80"/>
              <w:right w:type="dxa" w:w="110"/>
            </w:tcMar>
          </w:tcPr>
          <w:p>
            <w:pPr>
              <w:spacing w:after="0" w:line="260"/>
            </w:pPr>
            <w:r>
              <w:rPr>
                <w:b w:val="false"/>
                <w:bCs w:val="false"/>
                <w:i w:val="false"/>
                <w:iCs w:val="false"/>
                <w:color w:val="1A1A1A"/>
                <w:sz w:val="19"/>
                <w:szCs w:val="19"/>
              </w:rPr>
              <w:t xml:space="preserve">Paystack · WhatsApp BSP · KYC provider</w:t>
            </w:r>
          </w:p>
        </w:tc>
        <w:tc>
          <w:tcPr>
            <w:tcW w:type="dxa" w:w="4320"/>
            <w:tcMar>
              <w:top w:type="dxa" w:w="80"/>
              <w:left w:type="dxa" w:w="110"/>
              <w:bottom w:type="dxa" w:w="80"/>
              <w:right w:type="dxa" w:w="110"/>
            </w:tcMar>
          </w:tcPr>
          <w:p>
            <w:pPr>
              <w:spacing w:after="0" w:line="260"/>
            </w:pPr>
            <w:r>
              <w:rPr>
                <w:b w:val="false"/>
                <w:bCs w:val="false"/>
                <w:i w:val="false"/>
                <w:iCs w:val="false"/>
                <w:color w:val="1A1A1A"/>
                <w:sz w:val="19"/>
                <w:szCs w:val="19"/>
              </w:rPr>
              <w:t xml:space="preserve">Behind adapter interfaces. Escrow joins this row in Phase 2.</w:t>
            </w:r>
          </w:p>
        </w:tc>
      </w:tr>
    </w:tbl>
    <w:p>
      <w:pPr>
        <w:spacing w:after="180"/>
      </w:pPr>
      <w:r>
        <w:rPr>
          <w:sz w:val="2"/>
          <w:szCs w:val="2"/>
        </w:rPr>
        <w:t xml:space="preserve"/>
      </w:r>
    </w:p>
    <w:p>
      <w:pPr>
        <w:spacing w:after="140" w:line="280"/>
      </w:pPr>
      <w:r>
        <w:rPr>
          <w:b/>
          <w:bCs/>
          <w:i w:val="false"/>
          <w:iCs w:val="false"/>
          <w:color w:val="1A1A1A"/>
          <w:sz w:val="21"/>
          <w:szCs w:val="21"/>
        </w:rPr>
        <w:t xml:space="preserve">Why a monolith. </w:t>
      </w:r>
      <w:r>
        <w:rPr>
          <w:b w:val="false"/>
          <w:bCs w:val="false"/>
          <w:i w:val="false"/>
          <w:iCs w:val="false"/>
          <w:color w:val="1A1A1A"/>
          <w:sz w:val="21"/>
          <w:szCs w:val="21"/>
        </w:rPr>
        <w:t xml:space="preserve">Every module above could be a service. None of them should be yet. A solo founder with AI assistance and, soon, one experienced engineer cannot operate a distributed system — and the failure modes of premature microservices (partial deploys, cross-service transactions, debugging across network boundaries) are exactly the failures that would be most expensive here. Modules are separated by clear internal boundaries so that if scale ever demands extraction, the seams already exist.</w:t>
      </w:r>
    </w:p>
    <w:p>
      <w:pPr>
        <w:pStyle w:val="Heading1"/>
        <w:spacing w:after="160" w:before="360"/>
      </w:pPr>
      <w:r>
        <w:rPr>
          <w:b/>
          <w:bCs/>
          <w:i w:val="false"/>
          <w:iCs w:val="false"/>
          <w:color w:val="1F4E5F"/>
          <w:sz w:val="30"/>
          <w:szCs w:val="30"/>
        </w:rPr>
        <w:t xml:space="preserve">What the spec forces technically</w:t>
      </w:r>
    </w:p>
    <w:p>
      <w:pPr>
        <w:spacing w:after="140" w:line="280"/>
      </w:pPr>
      <w:r>
        <w:rPr>
          <w:b w:val="false"/>
          <w:bCs w:val="false"/>
          <w:i w:val="false"/>
          <w:iCs w:val="false"/>
          <w:color w:val="1A1A1A"/>
          <w:sz w:val="21"/>
          <w:szCs w:val="21"/>
        </w:rPr>
        <w:t xml:space="preserve">Most of the architecture is conventional. These five requirements are where the product spec dictates a specific technical answer, and each is worth understanding before writing code.</w:t>
      </w:r>
    </w:p>
    <w:tbl>
      <w:tblPr>
        <w:tblW w:type="dxa" w:w="9360"/>
        <w:tblBorders>
          <w:top w:val="none"/>
          <w:left w:val="none"/>
          <w:bottom w:val="none"/>
          <w:right w:val="none"/>
          <w:insideH w:val="none"/>
          <w:insideV w:val="none"/>
        </w:tblBorders>
      </w:tblPr>
      <w:tblGrid>
        <w:gridCol w:w="6660"/>
        <w:gridCol w:w="2700"/>
      </w:tblGrid>
      <w:tr>
        <w:tc>
          <w:tcPr>
            <w:tcW w:type="dxa" w:w="6660"/>
            <w:shd w:fill="E8EEF1" w:color="auto" w:val="clear"/>
            <w:tcMar>
              <w:top w:type="dxa" w:w="110"/>
              <w:left w:type="dxa" w:w="140"/>
              <w:bottom w:type="dxa" w:w="110"/>
              <w:right w:type="dxa" w:w="100"/>
            </w:tcMar>
          </w:tcPr>
          <w:p>
            <w:pPr>
              <w:spacing w:after="0"/>
            </w:pPr>
            <w:r>
              <w:rPr>
                <w:b/>
                <w:bCs/>
                <w:i w:val="false"/>
                <w:iCs w:val="false"/>
                <w:color w:val="1A1A1A"/>
                <w:sz w:val="24"/>
                <w:szCs w:val="24"/>
              </w:rPr>
              <w:t xml:space="preserve">1.  Geospatial — the acquisition-zone check</w:t>
            </w:r>
          </w:p>
        </w:tc>
        <w:tc>
          <w:tcPr>
            <w:tcW w:type="dxa" w:w="2700"/>
            <w:shd w:fill="E8EEF1" w:color="auto" w:val="clear"/>
            <w:tcMar>
              <w:top w:type="dxa" w:w="110"/>
              <w:left w:type="dxa" w:w="100"/>
              <w:bottom w:type="dxa" w:w="110"/>
              <w:right w:type="dxa" w:w="140"/>
            </w:tcMar>
          </w:tcPr>
          <w:p>
            <w:pPr>
              <w:spacing w:after="0"/>
              <w:jc w:val="right"/>
            </w:pPr>
            <w:r>
              <w:rPr>
                <w:b/>
                <w:bCs/>
                <w:color w:val="1F4E5F"/>
                <w:sz w:val="17"/>
                <w:szCs w:val="17"/>
              </w:rPr>
              <w:t xml:space="preserve">PostGIS</w:t>
            </w:r>
          </w:p>
        </w:tc>
      </w:tr>
    </w:tbl>
    <w:p>
      <w:pPr>
        <w:spacing w:after="100"/>
      </w:pPr>
      <w:r>
        <w:rPr>
          <w:sz w:val="2"/>
          <w:szCs w:val="2"/>
        </w:rPr>
        <w:t xml:space="preserve"/>
      </w:r>
    </w:p>
    <w:p>
      <w:pPr>
        <w:spacing w:after="140" w:line="280"/>
      </w:pPr>
      <w:r>
        <w:rPr>
          <w:b w:val="false"/>
          <w:bCs w:val="false"/>
          <w:i w:val="false"/>
          <w:iCs w:val="false"/>
          <w:color w:val="1A1A1A"/>
          <w:sz w:val="21"/>
          <w:szCs w:val="21"/>
        </w:rPr>
        <w:t xml:space="preserve">The product spec requires that a listing be checked against known government acquisition zones before publish. That is a polygon-containment problem, and it is the reason PostGIS is in the stack rather than plain Postgres.</w:t>
      </w:r>
    </w:p>
    <w:p>
      <w:pPr>
        <w:pStyle w:val="ListParagraph"/>
        <w:numPr>
          <w:ilvl w:val="0"/>
          <w:numId w:val="3"/>
        </w:numPr>
        <w:spacing w:after="90" w:line="280"/>
      </w:pPr>
      <w:r>
        <w:rPr>
          <w:b w:val="false"/>
          <w:bCs w:val="false"/>
          <w:i w:val="false"/>
          <w:iCs w:val="false"/>
          <w:color w:val="1A1A1A"/>
          <w:sz w:val="21"/>
          <w:szCs w:val="21"/>
        </w:rPr>
        <w:t xml:space="preserve">Store acquisition zones and estate boundaries as polygons; store listings as points, and land parcels as optional polygons.</w:t>
      </w:r>
    </w:p>
    <w:p>
      <w:pPr>
        <w:pStyle w:val="ListParagraph"/>
        <w:numPr>
          <w:ilvl w:val="0"/>
          <w:numId w:val="3"/>
        </w:numPr>
        <w:spacing w:after="90" w:line="280"/>
      </w:pPr>
      <w:r>
        <w:rPr>
          <w:b w:val="false"/>
          <w:bCs w:val="false"/>
          <w:i w:val="false"/>
          <w:iCs w:val="false"/>
          <w:color w:val="1A1A1A"/>
          <w:sz w:val="21"/>
          <w:szCs w:val="21"/>
        </w:rPr>
        <w:t xml:space="preserve">On publish, run an intersection check. An overlap flags the listing into the fraud queue — it does not auto-reject, because a human decides.</w:t>
      </w:r>
    </w:p>
    <w:p>
      <w:pPr>
        <w:pStyle w:val="ListParagraph"/>
        <w:numPr>
          <w:ilvl w:val="0"/>
          <w:numId w:val="3"/>
        </w:numPr>
        <w:spacing w:after="90" w:line="280"/>
      </w:pPr>
      <w:r>
        <w:rPr>
          <w:b w:val="false"/>
          <w:bCs w:val="false"/>
          <w:i w:val="false"/>
          <w:iCs w:val="false"/>
          <w:color w:val="1A1A1A"/>
          <w:sz w:val="21"/>
          <w:szCs w:val="21"/>
        </w:rPr>
        <w:t xml:space="preserve">The same index serves map clustering, radius search, and draw-your-own-area.</w:t>
      </w:r>
    </w:p>
    <w:p>
      <w:pPr>
        <w:spacing w:after="140" w:line="280"/>
      </w:pPr>
      <w:r>
        <w:rPr>
          <w:b/>
          <w:bCs/>
          <w:i w:val="false"/>
          <w:iCs w:val="false"/>
          <w:color w:val="1A1A1A"/>
          <w:sz w:val="21"/>
          <w:szCs w:val="21"/>
        </w:rPr>
        <w:t xml:space="preserve">[ASSUMPTION] </w:t>
      </w:r>
      <w:r>
        <w:rPr>
          <w:b w:val="false"/>
          <w:bCs w:val="false"/>
          <w:i w:val="false"/>
          <w:iCs w:val="false"/>
          <w:color w:val="1A1A1A"/>
          <w:sz w:val="21"/>
          <w:szCs w:val="21"/>
        </w:rPr>
        <w:t xml:space="preserve">Acquisition-zone polygon data is obtainable from state lands bureaux, or can be digitised from published maps. This is unverified and it is a real risk to the feature — worth asking the anchor firm what data actually exists and in what form. If polygons are unavailable at launch, the check degrades to "not checked" on the Trust Panel rather than silently passing.</w:t>
      </w:r>
    </w:p>
    <w:tbl>
      <w:tblPr>
        <w:tblW w:type="dxa" w:w="9360"/>
        <w:tblBorders>
          <w:top w:val="none"/>
          <w:left w:val="none"/>
          <w:bottom w:val="none"/>
          <w:right w:val="none"/>
          <w:insideH w:val="none"/>
          <w:insideV w:val="none"/>
        </w:tblBorders>
      </w:tblPr>
      <w:tblGrid>
        <w:gridCol w:w="6660"/>
        <w:gridCol w:w="2700"/>
      </w:tblGrid>
      <w:tr>
        <w:tc>
          <w:tcPr>
            <w:tcW w:type="dxa" w:w="6660"/>
            <w:shd w:fill="E8EEF1" w:color="auto" w:val="clear"/>
            <w:tcMar>
              <w:top w:type="dxa" w:w="110"/>
              <w:left w:type="dxa" w:w="140"/>
              <w:bottom w:type="dxa" w:w="110"/>
              <w:right w:type="dxa" w:w="100"/>
            </w:tcMar>
          </w:tcPr>
          <w:p>
            <w:pPr>
              <w:spacing w:after="0"/>
            </w:pPr>
            <w:r>
              <w:rPr>
                <w:b/>
                <w:bCs/>
                <w:i w:val="false"/>
                <w:iCs w:val="false"/>
                <w:color w:val="1A1A1A"/>
                <w:sz w:val="24"/>
                <w:szCs w:val="24"/>
              </w:rPr>
              <w:t xml:space="preserve">2.  Fraud detection — stolen photos and duplicate titles</w:t>
            </w:r>
          </w:p>
        </w:tc>
        <w:tc>
          <w:tcPr>
            <w:tcW w:type="dxa" w:w="2700"/>
            <w:shd w:fill="E8EEF1" w:color="auto" w:val="clear"/>
            <w:tcMar>
              <w:top w:type="dxa" w:w="110"/>
              <w:left w:type="dxa" w:w="100"/>
              <w:bottom w:type="dxa" w:w="110"/>
              <w:right w:type="dxa" w:w="140"/>
            </w:tcMar>
          </w:tcPr>
          <w:p>
            <w:pPr>
              <w:spacing w:after="0"/>
              <w:jc w:val="right"/>
            </w:pPr>
            <w:r>
              <w:rPr>
                <w:b/>
                <w:bCs/>
                <w:color w:val="1F4E5F"/>
                <w:sz w:val="17"/>
                <w:szCs w:val="17"/>
              </w:rPr>
              <w:t xml:space="preserve">Background workers</w:t>
            </w:r>
          </w:p>
        </w:tc>
      </w:tr>
    </w:tbl>
    <w:p>
      <w:pPr>
        <w:spacing w:after="100"/>
      </w:pPr>
      <w:r>
        <w:rPr>
          <w:sz w:val="2"/>
          <w:szCs w:val="2"/>
        </w:rPr>
        <w:t xml:space="preserve"/>
      </w:r>
    </w:p>
    <w:p>
      <w:pPr>
        <w:spacing w:after="140" w:line="280"/>
      </w:pPr>
      <w:r>
        <w:rPr>
          <w:b w:val="false"/>
          <w:bCs w:val="false"/>
          <w:i w:val="false"/>
          <w:iCs w:val="false"/>
          <w:color w:val="1A1A1A"/>
          <w:sz w:val="21"/>
          <w:szCs w:val="21"/>
        </w:rPr>
        <w:t xml:space="preserve">Listings arrive by direct submission rather than from a vetted MLS, so the platform has to screen them. Three checks, all running as background jobs so they never block an upload:</w:t>
      </w:r>
    </w:p>
    <w:p>
      <w:pPr>
        <w:pStyle w:val="ListParagraph"/>
        <w:numPr>
          <w:ilvl w:val="0"/>
          <w:numId w:val="3"/>
        </w:numPr>
        <w:spacing w:after="90" w:line="280"/>
      </w:pPr>
      <w:r>
        <w:rPr>
          <w:b/>
          <w:bCs/>
          <w:i w:val="false"/>
          <w:iCs w:val="false"/>
          <w:color w:val="1A1A1A"/>
          <w:sz w:val="21"/>
          <w:szCs w:val="21"/>
        </w:rPr>
        <w:t xml:space="preserve">Perceptual hashing (pHash). </w:t>
      </w:r>
      <w:r>
        <w:rPr>
          <w:b w:val="false"/>
          <w:bCs w:val="false"/>
          <w:i w:val="false"/>
          <w:iCs w:val="false"/>
          <w:color w:val="1A1A1A"/>
          <w:sz w:val="21"/>
          <w:szCs w:val="21"/>
        </w:rPr>
        <w:t xml:space="preserve">On image upload, compute a hash and compare against the existing corpus. Stolen listing photos are rampant, and a near-match against another listing is a strong fraud signal.</w:t>
      </w:r>
    </w:p>
    <w:p>
      <w:pPr>
        <w:pStyle w:val="ListParagraph"/>
        <w:numPr>
          <w:ilvl w:val="0"/>
          <w:numId w:val="3"/>
        </w:numPr>
        <w:spacing w:after="90" w:line="280"/>
      </w:pPr>
      <w:r>
        <w:rPr>
          <w:b/>
          <w:bCs/>
          <w:i w:val="false"/>
          <w:iCs w:val="false"/>
          <w:color w:val="1A1A1A"/>
          <w:sz w:val="21"/>
          <w:szCs w:val="21"/>
        </w:rPr>
        <w:t xml:space="preserve">Duplicate title numbers. </w:t>
      </w:r>
      <w:r>
        <w:rPr>
          <w:b w:val="false"/>
          <w:bCs w:val="false"/>
          <w:i w:val="false"/>
          <w:iCs w:val="false"/>
          <w:color w:val="1A1A1A"/>
          <w:sz w:val="21"/>
          <w:szCs w:val="21"/>
        </w:rPr>
        <w:t xml:space="preserve">On publish, cross-reference the title number against every other listing. Multiple sale is the single most common Nigerian fraud pattern and this check catches its digital footprint.</w:t>
      </w:r>
    </w:p>
    <w:p>
      <w:pPr>
        <w:pStyle w:val="ListParagraph"/>
        <w:numPr>
          <w:ilvl w:val="0"/>
          <w:numId w:val="3"/>
        </w:numPr>
        <w:spacing w:after="90" w:line="280"/>
      </w:pPr>
      <w:r>
        <w:rPr>
          <w:b/>
          <w:bCs/>
          <w:i w:val="false"/>
          <w:iCs w:val="false"/>
          <w:color w:val="1A1A1A"/>
          <w:sz w:val="21"/>
          <w:szCs w:val="21"/>
        </w:rPr>
        <w:t xml:space="preserve">Pricing anomalies. </w:t>
      </w:r>
      <w:r>
        <w:rPr>
          <w:b w:val="false"/>
          <w:bCs w:val="false"/>
          <w:i w:val="false"/>
          <w:iCs w:val="false"/>
          <w:color w:val="1A1A1A"/>
          <w:sz w:val="21"/>
          <w:szCs w:val="21"/>
        </w:rPr>
        <w:t xml:space="preserve">Flag listings far outside the range for their area. Crude, but effective against bait listings.</w:t>
      </w:r>
    </w:p>
    <w:p>
      <w:pPr>
        <w:spacing w:after="140" w:line="280"/>
      </w:pPr>
      <w:r>
        <w:rPr>
          <w:b/>
          <w:bCs/>
          <w:i w:val="false"/>
          <w:iCs w:val="false"/>
          <w:color w:val="1A1A1A"/>
          <w:sz w:val="21"/>
          <w:szCs w:val="21"/>
        </w:rPr>
        <w:t xml:space="preserve">Flag, never auto-reject. </w:t>
      </w:r>
      <w:r>
        <w:rPr>
          <w:b w:val="false"/>
          <w:bCs w:val="false"/>
          <w:i w:val="false"/>
          <w:iCs w:val="false"/>
          <w:color w:val="1A1A1A"/>
          <w:sz w:val="21"/>
          <w:szCs w:val="21"/>
        </w:rPr>
        <w:t xml:space="preserve">Every anomaly routes to the admin review queue with the reason attached. A machine can flag, queue, rank, and pre-fill. A human decides. This is a product rule with a technical consequence: the fraud engine writes to a queue table, it does not mutate listing status directly.</w:t>
      </w:r>
    </w:p>
    <w:tbl>
      <w:tblPr>
        <w:tblW w:type="dxa" w:w="9360"/>
        <w:tblBorders>
          <w:top w:val="none"/>
          <w:left w:val="none"/>
          <w:bottom w:val="none"/>
          <w:right w:val="none"/>
          <w:insideH w:val="none"/>
          <w:insideV w:val="none"/>
        </w:tblBorders>
      </w:tblPr>
      <w:tblGrid>
        <w:gridCol w:w="6660"/>
        <w:gridCol w:w="2700"/>
      </w:tblGrid>
      <w:tr>
        <w:tc>
          <w:tcPr>
            <w:tcW w:type="dxa" w:w="6660"/>
            <w:shd w:fill="E8EEF1" w:color="auto" w:val="clear"/>
            <w:tcMar>
              <w:top w:type="dxa" w:w="110"/>
              <w:left w:type="dxa" w:w="140"/>
              <w:bottom w:type="dxa" w:w="110"/>
              <w:right w:type="dxa" w:w="100"/>
            </w:tcMar>
          </w:tcPr>
          <w:p>
            <w:pPr>
              <w:spacing w:after="0"/>
            </w:pPr>
            <w:r>
              <w:rPr>
                <w:b/>
                <w:bCs/>
                <w:i w:val="false"/>
                <w:iCs w:val="false"/>
                <w:color w:val="1A1A1A"/>
                <w:sz w:val="24"/>
                <w:szCs w:val="24"/>
              </w:rPr>
              <w:t xml:space="preserve">3.  Low-data mode — an infrastructure problem, not an app problem</w:t>
            </w:r>
          </w:p>
        </w:tc>
        <w:tc>
          <w:tcPr>
            <w:tcW w:type="dxa" w:w="2700"/>
            <w:shd w:fill="E8EEF1" w:color="auto" w:val="clear"/>
            <w:tcMar>
              <w:top w:type="dxa" w:w="110"/>
              <w:left w:type="dxa" w:w="100"/>
              <w:bottom w:type="dxa" w:w="110"/>
              <w:right w:type="dxa" w:w="140"/>
            </w:tcMar>
          </w:tcPr>
          <w:p>
            <w:pPr>
              <w:spacing w:after="0"/>
              <w:jc w:val="right"/>
            </w:pPr>
            <w:r>
              <w:rPr>
                <w:b/>
                <w:bCs/>
                <w:color w:val="1F4E5F"/>
                <w:sz w:val="17"/>
                <w:szCs w:val="17"/>
              </w:rPr>
              <w:t xml:space="preserve">Cloudflare + R2</w:t>
            </w:r>
          </w:p>
        </w:tc>
      </w:tr>
    </w:tbl>
    <w:p>
      <w:pPr>
        <w:spacing w:after="100"/>
      </w:pPr>
      <w:r>
        <w:rPr>
          <w:sz w:val="2"/>
          <w:szCs w:val="2"/>
        </w:rPr>
        <w:t xml:space="preserve"/>
      </w:r>
    </w:p>
    <w:p>
      <w:pPr>
        <w:spacing w:after="140" w:line="280"/>
      </w:pPr>
      <w:r>
        <w:rPr>
          <w:b w:val="false"/>
          <w:bCs w:val="false"/>
          <w:i w:val="false"/>
          <w:iCs w:val="false"/>
          <w:color w:val="1A1A1A"/>
          <w:sz w:val="21"/>
          <w:szCs w:val="21"/>
        </w:rPr>
        <w:t xml:space="preserve">Data cost suppresses usage in Nigeria, and an image-heavy property app is close to the worst case. Most of the solution sits in the pipeline rather than the client:</w:t>
      </w:r>
    </w:p>
    <w:p>
      <w:pPr>
        <w:pStyle w:val="ListParagraph"/>
        <w:numPr>
          <w:ilvl w:val="0"/>
          <w:numId w:val="3"/>
        </w:numPr>
        <w:spacing w:after="90" w:line="280"/>
      </w:pPr>
      <w:r>
        <w:rPr>
          <w:b w:val="false"/>
          <w:bCs w:val="false"/>
          <w:i w:val="false"/>
          <w:iCs w:val="false"/>
          <w:color w:val="1A1A1A"/>
          <w:sz w:val="21"/>
          <w:szCs w:val="21"/>
        </w:rPr>
        <w:t xml:space="preserve">Generate multi-size WebP/AVIF derivatives on upload. Never serve a full-resolution photo to a phone.</w:t>
      </w:r>
    </w:p>
    <w:p>
      <w:pPr>
        <w:pStyle w:val="ListParagraph"/>
        <w:numPr>
          <w:ilvl w:val="0"/>
          <w:numId w:val="3"/>
        </w:numPr>
        <w:spacing w:after="90" w:line="280"/>
      </w:pPr>
      <w:r>
        <w:rPr>
          <w:b w:val="false"/>
          <w:bCs w:val="false"/>
          <w:i w:val="false"/>
          <w:iCs w:val="false"/>
          <w:color w:val="1A1A1A"/>
          <w:sz w:val="21"/>
          <w:szCs w:val="21"/>
        </w:rPr>
        <w:t xml:space="preserve">Lazy-load galleries: first image eagerly, the rest on demand.</w:t>
      </w:r>
    </w:p>
    <w:p>
      <w:pPr>
        <w:pStyle w:val="ListParagraph"/>
        <w:numPr>
          <w:ilvl w:val="0"/>
          <w:numId w:val="3"/>
        </w:numPr>
        <w:spacing w:after="90" w:line="280"/>
      </w:pPr>
      <w:r>
        <w:rPr>
          <w:b w:val="false"/>
          <w:bCs w:val="false"/>
          <w:i w:val="false"/>
          <w:iCs w:val="false"/>
          <w:color w:val="1A1A1A"/>
          <w:sz w:val="21"/>
          <w:szCs w:val="21"/>
        </w:rPr>
        <w:t xml:space="preserve">Cache aggressively at the Cloudflare edge; R2’s zero egress fees make this cheap to sustain.</w:t>
      </w:r>
    </w:p>
    <w:p>
      <w:pPr>
        <w:pStyle w:val="ListParagraph"/>
        <w:numPr>
          <w:ilvl w:val="0"/>
          <w:numId w:val="3"/>
        </w:numPr>
        <w:spacing w:after="90" w:line="280"/>
      </w:pPr>
      <w:r>
        <w:rPr>
          <w:b w:val="false"/>
          <w:bCs w:val="false"/>
          <w:i w:val="false"/>
          <w:iCs w:val="false"/>
          <w:color w:val="1A1A1A"/>
          <w:sz w:val="21"/>
          <w:szCs w:val="21"/>
        </w:rPr>
        <w:t xml:space="preserve">Local SQLite cache in the app so saved listings open offline — which also makes the demo resilient to bad conference-room wifi.</w:t>
      </w:r>
    </w:p>
    <w:p>
      <w:pPr>
        <w:pStyle w:val="ListParagraph"/>
        <w:numPr>
          <w:ilvl w:val="0"/>
          <w:numId w:val="3"/>
        </w:numPr>
        <w:spacing w:after="90" w:line="280"/>
      </w:pPr>
      <w:r>
        <w:rPr>
          <w:b w:val="false"/>
          <w:bCs w:val="false"/>
          <w:i w:val="false"/>
          <w:iCs w:val="false"/>
          <w:color w:val="1A1A1A"/>
          <w:sz w:val="21"/>
          <w:szCs w:val="21"/>
        </w:rPr>
        <w:t xml:space="preserve">An explicit low-data toggle that suppresses gallery prefetch and map tiles.</w:t>
      </w:r>
    </w:p>
    <w:tbl>
      <w:tblPr>
        <w:tblW w:type="dxa" w:w="9360"/>
        <w:tblBorders>
          <w:top w:val="none"/>
          <w:left w:val="none"/>
          <w:bottom w:val="none"/>
          <w:right w:val="none"/>
          <w:insideH w:val="none"/>
          <w:insideV w:val="none"/>
        </w:tblBorders>
      </w:tblPr>
      <w:tblGrid>
        <w:gridCol w:w="6660"/>
        <w:gridCol w:w="2700"/>
      </w:tblGrid>
      <w:tr>
        <w:tc>
          <w:tcPr>
            <w:tcW w:type="dxa" w:w="6660"/>
            <w:shd w:fill="E8EEF1" w:color="auto" w:val="clear"/>
            <w:tcMar>
              <w:top w:type="dxa" w:w="110"/>
              <w:left w:type="dxa" w:w="140"/>
              <w:bottom w:type="dxa" w:w="110"/>
              <w:right w:type="dxa" w:w="100"/>
            </w:tcMar>
          </w:tcPr>
          <w:p>
            <w:pPr>
              <w:spacing w:after="0"/>
            </w:pPr>
            <w:r>
              <w:rPr>
                <w:b/>
                <w:bCs/>
                <w:i w:val="false"/>
                <w:iCs w:val="false"/>
                <w:color w:val="1A1A1A"/>
                <w:sz w:val="24"/>
                <w:szCs w:val="24"/>
              </w:rPr>
              <w:t xml:space="preserve">4.  Verification records are legal artifacts</w:t>
            </w:r>
          </w:p>
        </w:tc>
        <w:tc>
          <w:tcPr>
            <w:tcW w:type="dxa" w:w="2700"/>
            <w:shd w:fill="E8EEF1" w:color="auto" w:val="clear"/>
            <w:tcMar>
              <w:top w:type="dxa" w:w="110"/>
              <w:left w:type="dxa" w:w="100"/>
              <w:bottom w:type="dxa" w:w="110"/>
              <w:right w:type="dxa" w:w="140"/>
            </w:tcMar>
          </w:tcPr>
          <w:p>
            <w:pPr>
              <w:spacing w:after="0"/>
              <w:jc w:val="right"/>
            </w:pPr>
            <w:r>
              <w:rPr>
                <w:b/>
                <w:bCs/>
                <w:color w:val="1F4E5F"/>
                <w:sz w:val="17"/>
                <w:szCs w:val="17"/>
              </w:rPr>
              <w:t xml:space="preserve">Append-only audit log</w:t>
            </w:r>
          </w:p>
        </w:tc>
      </w:tr>
    </w:tbl>
    <w:p>
      <w:pPr>
        <w:spacing w:after="100"/>
      </w:pPr>
      <w:r>
        <w:rPr>
          <w:sz w:val="2"/>
          <w:szCs w:val="2"/>
        </w:rPr>
        <w:t xml:space="preserve"/>
      </w:r>
    </w:p>
    <w:p>
      <w:pPr>
        <w:spacing w:after="140" w:line="280"/>
      </w:pPr>
      <w:r>
        <w:rPr>
          <w:b w:val="false"/>
          <w:bCs w:val="false"/>
          <w:i w:val="false"/>
          <w:iCs w:val="false"/>
          <w:color w:val="1A1A1A"/>
          <w:sz w:val="21"/>
          <w:szCs w:val="21"/>
        </w:rPr>
        <w:t xml:space="preserve">A registry check performed by a named solicitor, with a scope statement and a date, may need to be reconstructed years later in a dispute. That is not ordinary application data. It requires an </w:t>
      </w:r>
      <w:r>
        <w:rPr>
          <w:b/>
          <w:bCs/>
          <w:i w:val="false"/>
          <w:iCs w:val="false"/>
          <w:color w:val="1A1A1A"/>
          <w:sz w:val="21"/>
          <w:szCs w:val="21"/>
        </w:rPr>
        <w:t xml:space="preserve">append-only audit table</w:t>
      </w:r>
      <w:r>
        <w:rPr>
          <w:b w:val="false"/>
          <w:bCs w:val="false"/>
          <w:i w:val="false"/>
          <w:iCs w:val="false"/>
          <w:color w:val="1A1A1A"/>
          <w:sz w:val="21"/>
          <w:szCs w:val="21"/>
        </w:rPr>
        <w:t xml:space="preserve"> — insert-only, no updates, no deletes — recording who did what, when, and why.</w:t>
      </w:r>
    </w:p>
    <w:p>
      <w:pPr>
        <w:pStyle w:val="ListParagraph"/>
        <w:numPr>
          <w:ilvl w:val="0"/>
          <w:numId w:val="3"/>
        </w:numPr>
        <w:spacing w:after="90" w:line="280"/>
      </w:pPr>
      <w:r>
        <w:rPr>
          <w:b w:val="false"/>
          <w:bCs w:val="false"/>
          <w:i w:val="false"/>
          <w:iCs w:val="false"/>
          <w:color w:val="1A1A1A"/>
          <w:sz w:val="21"/>
          <w:szCs w:val="21"/>
        </w:rPr>
        <w:t xml:space="preserve">Every admin action writes an audit row: actor, action, target, timestamp, reason given.</w:t>
      </w:r>
    </w:p>
    <w:p>
      <w:pPr>
        <w:pStyle w:val="ListParagraph"/>
        <w:numPr>
          <w:ilvl w:val="0"/>
          <w:numId w:val="3"/>
        </w:numPr>
        <w:spacing w:after="90" w:line="280"/>
      </w:pPr>
      <w:r>
        <w:rPr>
          <w:b w:val="false"/>
          <w:bCs w:val="false"/>
          <w:i w:val="false"/>
          <w:iCs w:val="false"/>
          <w:color w:val="1A1A1A"/>
          <w:sz w:val="21"/>
          <w:szCs w:val="21"/>
        </w:rPr>
        <w:t xml:space="preserve">Verification outcomes are versioned rather than overwritten. A re-check creates a new record; the old one remains.</w:t>
      </w:r>
    </w:p>
    <w:p>
      <w:pPr>
        <w:pStyle w:val="ListParagraph"/>
        <w:numPr>
          <w:ilvl w:val="0"/>
          <w:numId w:val="3"/>
        </w:numPr>
        <w:spacing w:after="90" w:line="280"/>
      </w:pPr>
      <w:r>
        <w:rPr>
          <w:b w:val="false"/>
          <w:bCs w:val="false"/>
          <w:i w:val="false"/>
          <w:iCs w:val="false"/>
          <w:color w:val="1A1A1A"/>
          <w:sz w:val="21"/>
          <w:szCs w:val="21"/>
        </w:rPr>
        <w:t xml:space="preserve">Enforce insert-only at the database level (revoke UPDATE and DELETE on the table), not merely in application code.</w:t>
      </w:r>
    </w:p>
    <w:p>
      <w:pPr>
        <w:spacing w:after="140" w:line="280"/>
      </w:pPr>
      <w:r>
        <w:rPr>
          <w:b w:val="false"/>
          <w:bCs w:val="false"/>
          <w:i w:val="false"/>
          <w:iCs w:val="false"/>
          <w:color w:val="1A1A1A"/>
          <w:sz w:val="21"/>
          <w:szCs w:val="21"/>
        </w:rPr>
        <w:t xml:space="preserve">This is the Phase 1 foundation for the Phase 2 contract requirement — hash the contract PDF, store hash and signer identities in the same append-only log. </w:t>
      </w:r>
      <w:r>
        <w:rPr>
          <w:b/>
          <w:bCs/>
          <w:i w:val="false"/>
          <w:iCs w:val="false"/>
          <w:color w:val="1A1A1A"/>
          <w:sz w:val="21"/>
          <w:szCs w:val="21"/>
        </w:rPr>
        <w:t xml:space="preserve">No blockchain is required</w:t>
      </w:r>
      <w:r>
        <w:rPr>
          <w:b w:val="false"/>
          <w:bCs w:val="false"/>
          <w:i w:val="false"/>
          <w:iCs w:val="false"/>
          <w:color w:val="1A1A1A"/>
          <w:sz w:val="21"/>
          <w:szCs w:val="21"/>
        </w:rPr>
        <w:t xml:space="preserve">; a write-once audit trail with good backups does the job at a fraction of the complexity, and is far easier to explain to a court.</w:t>
      </w:r>
    </w:p>
    <w:tbl>
      <w:tblPr>
        <w:tblW w:type="dxa" w:w="9360"/>
        <w:tblBorders>
          <w:top w:val="none"/>
          <w:left w:val="none"/>
          <w:bottom w:val="none"/>
          <w:right w:val="none"/>
          <w:insideH w:val="none"/>
          <w:insideV w:val="none"/>
        </w:tblBorders>
      </w:tblPr>
      <w:tblGrid>
        <w:gridCol w:w="6660"/>
        <w:gridCol w:w="2700"/>
      </w:tblGrid>
      <w:tr>
        <w:tc>
          <w:tcPr>
            <w:tcW w:type="dxa" w:w="6660"/>
            <w:shd w:fill="E8EEF1" w:color="auto" w:val="clear"/>
            <w:tcMar>
              <w:top w:type="dxa" w:w="110"/>
              <w:left w:type="dxa" w:w="140"/>
              <w:bottom w:type="dxa" w:w="110"/>
              <w:right w:type="dxa" w:w="100"/>
            </w:tcMar>
          </w:tcPr>
          <w:p>
            <w:pPr>
              <w:spacing w:after="0"/>
            </w:pPr>
            <w:r>
              <w:rPr>
                <w:b/>
                <w:bCs/>
                <w:i w:val="false"/>
                <w:iCs w:val="false"/>
                <w:color w:val="1A1A1A"/>
                <w:sz w:val="24"/>
                <w:szCs w:val="24"/>
              </w:rPr>
              <w:t xml:space="preserve">5.  Search must match how Nigerians think</w:t>
            </w:r>
          </w:p>
        </w:tc>
        <w:tc>
          <w:tcPr>
            <w:tcW w:type="dxa" w:w="2700"/>
            <w:shd w:fill="E8EEF1" w:color="auto" w:val="clear"/>
            <w:tcMar>
              <w:top w:type="dxa" w:w="110"/>
              <w:left w:type="dxa" w:w="100"/>
              <w:bottom w:type="dxa" w:w="110"/>
              <w:right w:type="dxa" w:w="140"/>
            </w:tcMar>
          </w:tcPr>
          <w:p>
            <w:pPr>
              <w:spacing w:after="0"/>
              <w:jc w:val="right"/>
            </w:pPr>
            <w:r>
              <w:rPr>
                <w:b/>
                <w:bCs/>
                <w:color w:val="1F4E5F"/>
                <w:sz w:val="17"/>
                <w:szCs w:val="17"/>
              </w:rPr>
              <w:t xml:space="preserve">Typesense + gazetteer</w:t>
            </w:r>
          </w:p>
        </w:tc>
      </w:tr>
    </w:tbl>
    <w:p>
      <w:pPr>
        <w:spacing w:after="100"/>
      </w:pPr>
      <w:r>
        <w:rPr>
          <w:sz w:val="2"/>
          <w:szCs w:val="2"/>
        </w:rPr>
        <w:t xml:space="preserve"/>
      </w:r>
    </w:p>
    <w:p>
      <w:pPr>
        <w:spacing w:after="140" w:line="280"/>
      </w:pPr>
      <w:r>
        <w:rPr>
          <w:b w:val="false"/>
          <w:bCs w:val="false"/>
          <w:i w:val="false"/>
          <w:iCs w:val="false"/>
          <w:color w:val="1A1A1A"/>
          <w:sz w:val="21"/>
          <w:szCs w:val="21"/>
        </w:rPr>
        <w:t xml:space="preserve">There is no reliable street addressing to geocode against, so search runs on a hand-curated gazetteer of estates, districts, and landmarks. Typesense provides typo tolerance — "Gwarimpa" and "Gwarinpa" must both work — and the index is synced from Postgres by a background worker rather than written to directly, so Postgres stays the single source of truth.</w:t>
      </w:r>
    </w:p>
    <w:p>
      <w:pPr>
        <w:spacing w:after="140" w:line="280"/>
      </w:pPr>
      <w:r>
        <w:rPr>
          <w:b/>
          <w:bCs/>
          <w:i w:val="false"/>
          <w:iCs w:val="false"/>
          <w:color w:val="1A1A1A"/>
          <w:sz w:val="21"/>
          <w:szCs w:val="21"/>
        </w:rPr>
        <w:t xml:space="preserve">The gazetteer is the dependency to watch. </w:t>
      </w:r>
      <w:r>
        <w:rPr>
          <w:b w:val="false"/>
          <w:bCs w:val="false"/>
          <w:i w:val="false"/>
          <w:iCs w:val="false"/>
          <w:color w:val="1A1A1A"/>
          <w:sz w:val="21"/>
          <w:szCs w:val="21"/>
        </w:rPr>
        <w:t xml:space="preserve">It is manual work, not a data purchase, and search quality is capped by its coverage. A few hundred entries across Abuja and Lagos is the realistic launch bar, and the work should start before it blocks Build Step 3.</w:t>
      </w:r>
    </w:p>
    <w:p>
      <w:pPr>
        <w:pStyle w:val="Heading1"/>
        <w:spacing w:after="160" w:before="360"/>
      </w:pPr>
      <w:r>
        <w:rPr>
          <w:b/>
          <w:bCs/>
          <w:i w:val="false"/>
          <w:iCs w:val="false"/>
          <w:color w:val="1F4E5F"/>
          <w:sz w:val="30"/>
          <w:szCs w:val="30"/>
        </w:rPr>
        <w:t xml:space="preserve">Adapter boundaries for external partners</w:t>
      </w:r>
    </w:p>
    <w:p>
      <w:pPr>
        <w:spacing w:after="140" w:line="280"/>
      </w:pPr>
      <w:r>
        <w:rPr>
          <w:b w:val="false"/>
          <w:bCs w:val="false"/>
          <w:i w:val="false"/>
          <w:iCs w:val="false"/>
          <w:color w:val="1A1A1A"/>
          <w:sz w:val="21"/>
          <w:szCs w:val="21"/>
        </w:rPr>
        <w:t xml:space="preserve">Payments, WhatsApp, KYC, and later escrow each sit behind an interface. The Nigerian fintech landscape moves quickly; a partner change should be an adapter swap, not a rewrite. Each interface is defined by what the product needs, not by what the vendor’s SDK happens to expose.</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160"/>
        <w:gridCol w:w="3384"/>
        <w:gridCol w:w="2304"/>
        <w:gridCol w:w="1512"/>
      </w:tblGrid>
      <w:tr>
        <w:trPr>
          <w:tblHeader/>
        </w:trPr>
        <w:tc>
          <w:tcPr>
            <w:tcW w:type="dxa" w:w="2160"/>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Adapter</w:t>
            </w:r>
          </w:p>
        </w:tc>
        <w:tc>
          <w:tcPr>
            <w:tcW w:type="dxa" w:w="3384"/>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Interface the product needs</w:t>
            </w:r>
          </w:p>
        </w:tc>
        <w:tc>
          <w:tcPr>
            <w:tcW w:type="dxa" w:w="2304"/>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Launch implementation</w:t>
            </w:r>
          </w:p>
        </w:tc>
        <w:tc>
          <w:tcPr>
            <w:tcW w:type="dxa" w:w="1512"/>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Swap risk</w:t>
            </w:r>
          </w:p>
        </w:tc>
      </w:tr>
      <w:tr>
        <w:tc>
          <w:tcPr>
            <w:tcW w:type="dxa" w:w="2160"/>
            <w:tcMar>
              <w:top w:type="dxa" w:w="80"/>
              <w:left w:type="dxa" w:w="110"/>
              <w:bottom w:type="dxa" w:w="80"/>
              <w:right w:type="dxa" w:w="110"/>
            </w:tcMar>
          </w:tcPr>
          <w:p>
            <w:pPr>
              <w:spacing w:after="0" w:line="260"/>
            </w:pPr>
            <w:r>
              <w:rPr>
                <w:b/>
                <w:bCs/>
                <w:i w:val="false"/>
                <w:iCs w:val="false"/>
                <w:color w:val="1A1A1A"/>
                <w:sz w:val="19"/>
                <w:szCs w:val="19"/>
              </w:rPr>
              <w:t xml:space="preserve">PaymentProvider</w:t>
            </w:r>
          </w:p>
        </w:tc>
        <w:tc>
          <w:tcPr>
            <w:tcW w:type="dxa" w:w="3384"/>
            <w:tcMar>
              <w:top w:type="dxa" w:w="80"/>
              <w:left w:type="dxa" w:w="110"/>
              <w:bottom w:type="dxa" w:w="80"/>
              <w:right w:type="dxa" w:w="110"/>
            </w:tcMar>
          </w:tcPr>
          <w:p>
            <w:pPr>
              <w:spacing w:after="0" w:line="260"/>
            </w:pPr>
            <w:r>
              <w:rPr>
                <w:b w:val="false"/>
                <w:bCs w:val="false"/>
                <w:i w:val="false"/>
                <w:iCs w:val="false"/>
                <w:color w:val="1A1A1A"/>
                <w:sz w:val="19"/>
                <w:szCs w:val="19"/>
              </w:rPr>
              <w:t xml:space="preserve">Initiate a charge, verify a transaction, handle webhook confirmation, issue refunds.</w:t>
            </w:r>
          </w:p>
        </w:tc>
        <w:tc>
          <w:tcPr>
            <w:tcW w:type="dxa" w:w="2304"/>
            <w:tcMar>
              <w:top w:type="dxa" w:w="80"/>
              <w:left w:type="dxa" w:w="110"/>
              <w:bottom w:type="dxa" w:w="80"/>
              <w:right w:type="dxa" w:w="110"/>
            </w:tcMar>
          </w:tcPr>
          <w:p>
            <w:pPr>
              <w:spacing w:after="0" w:line="260"/>
            </w:pPr>
            <w:r>
              <w:rPr>
                <w:b w:val="false"/>
                <w:bCs w:val="false"/>
                <w:i w:val="false"/>
                <w:iCs w:val="false"/>
                <w:color w:val="1A1A1A"/>
                <w:sz w:val="19"/>
                <w:szCs w:val="19"/>
              </w:rPr>
              <w:t xml:space="preserve">Paystack</w:t>
            </w:r>
          </w:p>
        </w:tc>
        <w:tc>
          <w:tcPr>
            <w:tcW w:type="dxa" w:w="1512"/>
            <w:tcMar>
              <w:top w:type="dxa" w:w="80"/>
              <w:left w:type="dxa" w:w="110"/>
              <w:bottom w:type="dxa" w:w="80"/>
              <w:right w:type="dxa" w:w="110"/>
            </w:tcMar>
          </w:tcPr>
          <w:p>
            <w:pPr>
              <w:spacing w:after="0" w:line="260"/>
            </w:pPr>
            <w:r>
              <w:rPr>
                <w:b w:val="false"/>
                <w:bCs w:val="false"/>
                <w:i w:val="false"/>
                <w:iCs w:val="false"/>
                <w:color w:val="1A1A1A"/>
                <w:sz w:val="19"/>
                <w:szCs w:val="19"/>
              </w:rPr>
              <w:t xml:space="preserve">Low — Flutterwave is a near drop-in if needed.</w:t>
            </w:r>
          </w:p>
        </w:tc>
      </w:tr>
      <w:tr>
        <w:tc>
          <w:tcPr>
            <w:tcW w:type="dxa" w:w="2160"/>
            <w:tcMar>
              <w:top w:type="dxa" w:w="80"/>
              <w:left w:type="dxa" w:w="110"/>
              <w:bottom w:type="dxa" w:w="80"/>
              <w:right w:type="dxa" w:w="110"/>
            </w:tcMar>
          </w:tcPr>
          <w:p>
            <w:pPr>
              <w:spacing w:after="0" w:line="260"/>
            </w:pPr>
            <w:r>
              <w:rPr>
                <w:b/>
                <w:bCs/>
                <w:i w:val="false"/>
                <w:iCs w:val="false"/>
                <w:color w:val="1A1A1A"/>
                <w:sz w:val="19"/>
                <w:szCs w:val="19"/>
              </w:rPr>
              <w:t xml:space="preserve">MessagingProvider</w:t>
            </w:r>
          </w:p>
        </w:tc>
        <w:tc>
          <w:tcPr>
            <w:tcW w:type="dxa" w:w="3384"/>
            <w:tcMar>
              <w:top w:type="dxa" w:w="80"/>
              <w:left w:type="dxa" w:w="110"/>
              <w:bottom w:type="dxa" w:w="80"/>
              <w:right w:type="dxa" w:w="110"/>
            </w:tcMar>
          </w:tcPr>
          <w:p>
            <w:pPr>
              <w:spacing w:after="0" w:line="260"/>
            </w:pPr>
            <w:r>
              <w:rPr>
                <w:b w:val="false"/>
                <w:bCs w:val="false"/>
                <w:i w:val="false"/>
                <w:iCs w:val="false"/>
                <w:color w:val="1A1A1A"/>
                <w:sz w:val="19"/>
                <w:szCs w:val="19"/>
              </w:rPr>
              <w:t xml:space="preserve">Send a templated message to a phone number, receive delivery status, handle inbound replies.</w:t>
            </w:r>
          </w:p>
        </w:tc>
        <w:tc>
          <w:tcPr>
            <w:tcW w:type="dxa" w:w="2304"/>
            <w:tcMar>
              <w:top w:type="dxa" w:w="80"/>
              <w:left w:type="dxa" w:w="110"/>
              <w:bottom w:type="dxa" w:w="80"/>
              <w:right w:type="dxa" w:w="110"/>
            </w:tcMar>
          </w:tcPr>
          <w:p>
            <w:pPr>
              <w:spacing w:after="0" w:line="260"/>
            </w:pPr>
            <w:r>
              <w:rPr>
                <w:b w:val="false"/>
                <w:bCs w:val="false"/>
                <w:i w:val="false"/>
                <w:iCs w:val="false"/>
                <w:color w:val="1A1A1A"/>
                <w:sz w:val="19"/>
                <w:szCs w:val="19"/>
              </w:rPr>
              <w:t xml:space="preserve">WhatsApp BSP (360dialog / Twilio / Termii)</w:t>
            </w:r>
          </w:p>
        </w:tc>
        <w:tc>
          <w:tcPr>
            <w:tcW w:type="dxa" w:w="1512"/>
            <w:tcMar>
              <w:top w:type="dxa" w:w="80"/>
              <w:left w:type="dxa" w:w="110"/>
              <w:bottom w:type="dxa" w:w="80"/>
              <w:right w:type="dxa" w:w="110"/>
            </w:tcMar>
          </w:tcPr>
          <w:p>
            <w:pPr>
              <w:spacing w:after="0" w:line="260"/>
            </w:pPr>
            <w:r>
              <w:rPr>
                <w:b w:val="false"/>
                <w:bCs w:val="false"/>
                <w:i w:val="false"/>
                <w:iCs w:val="false"/>
                <w:color w:val="1A1A1A"/>
                <w:sz w:val="19"/>
                <w:szCs w:val="19"/>
              </w:rPr>
              <w:t xml:space="preserve">Medium — template approval differs by BSP.</w:t>
            </w:r>
          </w:p>
        </w:tc>
      </w:tr>
      <w:tr>
        <w:tc>
          <w:tcPr>
            <w:tcW w:type="dxa" w:w="2160"/>
            <w:tcMar>
              <w:top w:type="dxa" w:w="80"/>
              <w:left w:type="dxa" w:w="110"/>
              <w:bottom w:type="dxa" w:w="80"/>
              <w:right w:type="dxa" w:w="110"/>
            </w:tcMar>
          </w:tcPr>
          <w:p>
            <w:pPr>
              <w:spacing w:after="0" w:line="260"/>
            </w:pPr>
            <w:r>
              <w:rPr>
                <w:b/>
                <w:bCs/>
                <w:i w:val="false"/>
                <w:iCs w:val="false"/>
                <w:color w:val="1A1A1A"/>
                <w:sz w:val="19"/>
                <w:szCs w:val="19"/>
              </w:rPr>
              <w:t xml:space="preserve">IdentityProvider</w:t>
            </w:r>
          </w:p>
        </w:tc>
        <w:tc>
          <w:tcPr>
            <w:tcW w:type="dxa" w:w="3384"/>
            <w:tcMar>
              <w:top w:type="dxa" w:w="80"/>
              <w:left w:type="dxa" w:w="110"/>
              <w:bottom w:type="dxa" w:w="80"/>
              <w:right w:type="dxa" w:w="110"/>
            </w:tcMar>
          </w:tcPr>
          <w:p>
            <w:pPr>
              <w:spacing w:after="0" w:line="260"/>
            </w:pPr>
            <w:r>
              <w:rPr>
                <w:b w:val="false"/>
                <w:bCs w:val="false"/>
                <w:i w:val="false"/>
                <w:iCs w:val="false"/>
                <w:color w:val="1A1A1A"/>
                <w:sz w:val="19"/>
                <w:szCs w:val="19"/>
              </w:rPr>
              <w:t xml:space="preserve">Verify NIN or BVN, run a liveness check, return a pass/fail with a reference.</w:t>
            </w:r>
          </w:p>
        </w:tc>
        <w:tc>
          <w:tcPr>
            <w:tcW w:type="dxa" w:w="2304"/>
            <w:tcMar>
              <w:top w:type="dxa" w:w="80"/>
              <w:left w:type="dxa" w:w="110"/>
              <w:bottom w:type="dxa" w:w="80"/>
              <w:right w:type="dxa" w:w="110"/>
            </w:tcMar>
          </w:tcPr>
          <w:p>
            <w:pPr>
              <w:spacing w:after="0" w:line="260"/>
            </w:pPr>
            <w:r>
              <w:rPr>
                <w:b w:val="false"/>
                <w:bCs w:val="false"/>
                <w:i w:val="false"/>
                <w:iCs w:val="false"/>
                <w:color w:val="1A1A1A"/>
                <w:sz w:val="19"/>
                <w:szCs w:val="19"/>
              </w:rPr>
              <w:t xml:space="preserve">Smile ID or Dojah</w:t>
            </w:r>
          </w:p>
        </w:tc>
        <w:tc>
          <w:tcPr>
            <w:tcW w:type="dxa" w:w="1512"/>
            <w:tcMar>
              <w:top w:type="dxa" w:w="80"/>
              <w:left w:type="dxa" w:w="110"/>
              <w:bottom w:type="dxa" w:w="80"/>
              <w:right w:type="dxa" w:w="110"/>
            </w:tcMar>
          </w:tcPr>
          <w:p>
            <w:pPr>
              <w:spacing w:after="0" w:line="260"/>
            </w:pPr>
            <w:r>
              <w:rPr>
                <w:b w:val="false"/>
                <w:bCs w:val="false"/>
                <w:i w:val="false"/>
                <w:iCs w:val="false"/>
                <w:color w:val="1A1A1A"/>
                <w:sz w:val="19"/>
                <w:szCs w:val="19"/>
              </w:rPr>
              <w:t xml:space="preserve">Medium — the diaspora passport path may differ materially.</w:t>
            </w:r>
          </w:p>
        </w:tc>
      </w:tr>
      <w:tr>
        <w:tc>
          <w:tcPr>
            <w:tcW w:type="dxa" w:w="2160"/>
            <w:tcMar>
              <w:top w:type="dxa" w:w="80"/>
              <w:left w:type="dxa" w:w="110"/>
              <w:bottom w:type="dxa" w:w="80"/>
              <w:right w:type="dxa" w:w="110"/>
            </w:tcMar>
          </w:tcPr>
          <w:p>
            <w:pPr>
              <w:spacing w:after="0" w:line="260"/>
            </w:pPr>
            <w:r>
              <w:rPr>
                <w:b/>
                <w:bCs/>
                <w:i w:val="false"/>
                <w:iCs w:val="false"/>
                <w:color w:val="1A1A1A"/>
                <w:sz w:val="19"/>
                <w:szCs w:val="19"/>
              </w:rPr>
              <w:t xml:space="preserve">StorageProvider</w:t>
            </w:r>
          </w:p>
        </w:tc>
        <w:tc>
          <w:tcPr>
            <w:tcW w:type="dxa" w:w="3384"/>
            <w:tcMar>
              <w:top w:type="dxa" w:w="80"/>
              <w:left w:type="dxa" w:w="110"/>
              <w:bottom w:type="dxa" w:w="80"/>
              <w:right w:type="dxa" w:w="110"/>
            </w:tcMar>
          </w:tcPr>
          <w:p>
            <w:pPr>
              <w:spacing w:after="0" w:line="260"/>
            </w:pPr>
            <w:r>
              <w:rPr>
                <w:b w:val="false"/>
                <w:bCs w:val="false"/>
                <w:i w:val="false"/>
                <w:iCs w:val="false"/>
                <w:color w:val="1A1A1A"/>
                <w:sz w:val="19"/>
                <w:szCs w:val="19"/>
              </w:rPr>
              <w:t xml:space="preserve">Store an object, produce sized derivatives, return a signed URL.</w:t>
            </w:r>
          </w:p>
        </w:tc>
        <w:tc>
          <w:tcPr>
            <w:tcW w:type="dxa" w:w="2304"/>
            <w:tcMar>
              <w:top w:type="dxa" w:w="80"/>
              <w:left w:type="dxa" w:w="110"/>
              <w:bottom w:type="dxa" w:w="80"/>
              <w:right w:type="dxa" w:w="110"/>
            </w:tcMar>
          </w:tcPr>
          <w:p>
            <w:pPr>
              <w:spacing w:after="0" w:line="260"/>
            </w:pPr>
            <w:r>
              <w:rPr>
                <w:b w:val="false"/>
                <w:bCs w:val="false"/>
                <w:i w:val="false"/>
                <w:iCs w:val="false"/>
                <w:color w:val="1A1A1A"/>
                <w:sz w:val="19"/>
                <w:szCs w:val="19"/>
              </w:rPr>
              <w:t xml:space="preserve">Cloudflare R2</w:t>
            </w:r>
          </w:p>
        </w:tc>
        <w:tc>
          <w:tcPr>
            <w:tcW w:type="dxa" w:w="1512"/>
            <w:tcMar>
              <w:top w:type="dxa" w:w="80"/>
              <w:left w:type="dxa" w:w="110"/>
              <w:bottom w:type="dxa" w:w="80"/>
              <w:right w:type="dxa" w:w="110"/>
            </w:tcMar>
          </w:tcPr>
          <w:p>
            <w:pPr>
              <w:spacing w:after="0" w:line="260"/>
            </w:pPr>
            <w:r>
              <w:rPr>
                <w:b w:val="false"/>
                <w:bCs w:val="false"/>
                <w:i w:val="false"/>
                <w:iCs w:val="false"/>
                <w:color w:val="1A1A1A"/>
                <w:sz w:val="19"/>
                <w:szCs w:val="19"/>
              </w:rPr>
              <w:t xml:space="preserve">Low — S3-compatible API.</w:t>
            </w:r>
          </w:p>
        </w:tc>
      </w:tr>
      <w:tr>
        <w:tc>
          <w:tcPr>
            <w:tcW w:type="dxa" w:w="2160"/>
            <w:tcMar>
              <w:top w:type="dxa" w:w="80"/>
              <w:left w:type="dxa" w:w="110"/>
              <w:bottom w:type="dxa" w:w="80"/>
              <w:right w:type="dxa" w:w="110"/>
            </w:tcMar>
          </w:tcPr>
          <w:p>
            <w:pPr>
              <w:spacing w:after="0" w:line="260"/>
            </w:pPr>
            <w:r>
              <w:rPr>
                <w:b/>
                <w:bCs/>
                <w:i w:val="false"/>
                <w:iCs w:val="false"/>
                <w:color w:val="1A1A1A"/>
                <w:sz w:val="19"/>
                <w:szCs w:val="19"/>
              </w:rPr>
              <w:t xml:space="preserve">EscrowProvider (Phase 2)</w:t>
            </w:r>
          </w:p>
        </w:tc>
        <w:tc>
          <w:tcPr>
            <w:tcW w:type="dxa" w:w="3384"/>
            <w:tcMar>
              <w:top w:type="dxa" w:w="80"/>
              <w:left w:type="dxa" w:w="110"/>
              <w:bottom w:type="dxa" w:w="80"/>
              <w:right w:type="dxa" w:w="110"/>
            </w:tcMar>
          </w:tcPr>
          <w:p>
            <w:pPr>
              <w:spacing w:after="0" w:line="260"/>
            </w:pPr>
            <w:r>
              <w:rPr>
                <w:b w:val="false"/>
                <w:bCs w:val="false"/>
                <w:i w:val="false"/>
                <w:iCs w:val="false"/>
                <w:color w:val="1A1A1A"/>
                <w:sz w:val="19"/>
                <w:szCs w:val="19"/>
              </w:rPr>
              <w:t xml:space="preserve">Open an escrow account, confirm funding, release against a milestone trigger, handle disputes.</w:t>
            </w:r>
          </w:p>
        </w:tc>
        <w:tc>
          <w:tcPr>
            <w:tcW w:type="dxa" w:w="2304"/>
            <w:tcMar>
              <w:top w:type="dxa" w:w="80"/>
              <w:left w:type="dxa" w:w="110"/>
              <w:bottom w:type="dxa" w:w="80"/>
              <w:right w:type="dxa" w:w="110"/>
            </w:tcMar>
          </w:tcPr>
          <w:p>
            <w:pPr>
              <w:spacing w:after="0" w:line="260"/>
            </w:pPr>
            <w:r>
              <w:rPr>
                <w:b w:val="false"/>
                <w:bCs w:val="false"/>
                <w:i w:val="false"/>
                <w:iCs w:val="false"/>
                <w:color w:val="1A1A1A"/>
                <w:sz w:val="19"/>
                <w:szCs w:val="19"/>
              </w:rPr>
              <w:t xml:space="preserve">Not selected. Licensed partner only.</w:t>
            </w:r>
          </w:p>
        </w:tc>
        <w:tc>
          <w:tcPr>
            <w:tcW w:type="dxa" w:w="1512"/>
            <w:tcMar>
              <w:top w:type="dxa" w:w="80"/>
              <w:left w:type="dxa" w:w="110"/>
              <w:bottom w:type="dxa" w:w="80"/>
              <w:right w:type="dxa" w:w="110"/>
            </w:tcMar>
          </w:tcPr>
          <w:p>
            <w:pPr>
              <w:spacing w:after="0" w:line="260"/>
            </w:pPr>
            <w:r>
              <w:rPr>
                <w:b w:val="false"/>
                <w:bCs w:val="false"/>
                <w:i w:val="false"/>
                <w:iCs w:val="false"/>
                <w:color w:val="1A1A1A"/>
                <w:sz w:val="19"/>
                <w:szCs w:val="19"/>
              </w:rPr>
              <w:t xml:space="preserve">High — do not design this until the partner is chosen.</w:t>
            </w:r>
          </w:p>
        </w:tc>
      </w:tr>
    </w:tbl>
    <w:p>
      <w:pPr>
        <w:spacing w:after="160"/>
      </w:pPr>
      <w:r>
        <w:rPr>
          <w:sz w:val="2"/>
          <w:szCs w:val="2"/>
        </w:rPr>
        <w:t xml:space="preserve"/>
      </w:r>
    </w:p>
    <w:p>
      <w:pPr>
        <w:spacing w:after="140" w:line="280"/>
      </w:pPr>
      <w:r>
        <w:rPr>
          <w:b/>
          <w:bCs/>
          <w:i w:val="false"/>
          <w:iCs w:val="false"/>
          <w:color w:val="1A1A1A"/>
          <w:sz w:val="21"/>
          <w:szCs w:val="21"/>
        </w:rPr>
        <w:t xml:space="preserve">A note on the escrow adapter. </w:t>
      </w:r>
      <w:r>
        <w:rPr>
          <w:b w:val="false"/>
          <w:bCs w:val="false"/>
          <w:i w:val="false"/>
          <w:iCs w:val="false"/>
          <w:color w:val="1A1A1A"/>
          <w:sz w:val="21"/>
          <w:szCs w:val="21"/>
        </w:rPr>
        <w:t xml:space="preserve">It is listed here so the seam exists in the architecture from day one, and so a co-founder can see where it plugs in. It is not to be implemented in Phase 1, and the interface above should be treated as a sketch — the real shape will be dictated by whichever licensed partner is selected, and by their regulatory requirements rather than by product preference.</w:t>
      </w:r>
    </w:p>
    <w:p>
      <w:pPr>
        <w:pStyle w:val="Heading1"/>
        <w:spacing w:after="160" w:before="360"/>
      </w:pPr>
      <w:r>
        <w:rPr>
          <w:b/>
          <w:bCs/>
          <w:i w:val="false"/>
          <w:iCs w:val="false"/>
          <w:color w:val="1F4E5F"/>
          <w:sz w:val="30"/>
          <w:szCs w:val="30"/>
        </w:rPr>
        <w:t xml:space="preserve">Data model sketch</w:t>
      </w:r>
    </w:p>
    <w:p>
      <w:pPr>
        <w:spacing w:after="140" w:line="280"/>
      </w:pPr>
      <w:r>
        <w:rPr>
          <w:b w:val="false"/>
          <w:bCs w:val="false"/>
          <w:i w:val="false"/>
          <w:iCs w:val="false"/>
          <w:color w:val="1A1A1A"/>
          <w:sz w:val="21"/>
          <w:szCs w:val="21"/>
        </w:rPr>
        <w:t xml:space="preserve">Phase 1 tables only, with the Phase 2 shape anticipated where it affects Phase 1 decisions. This is a sketch for orientation, not a migration script.</w:t>
      </w:r>
    </w:p>
    <w:p>
      <w:pPr>
        <w:pStyle w:val="Heading3"/>
        <w:spacing w:after="100" w:before="200"/>
      </w:pPr>
      <w:r>
        <w:rPr>
          <w:b/>
          <w:bCs/>
          <w:i w:val="false"/>
          <w:iCs w:val="false"/>
          <w:color w:val="333333"/>
          <w:sz w:val="21"/>
          <w:szCs w:val="21"/>
        </w:rPr>
        <w:t xml:space="preserve">Core entities</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1872"/>
        <w:gridCol w:w="3744"/>
        <w:gridCol w:w="3744"/>
      </w:tblGrid>
      <w:tr>
        <w:trPr>
          <w:tblHeader/>
        </w:trPr>
        <w:tc>
          <w:tcPr>
            <w:tcW w:type="dxa" w:w="1872"/>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Table</w:t>
            </w:r>
          </w:p>
        </w:tc>
        <w:tc>
          <w:tcPr>
            <w:tcW w:type="dxa" w:w="3744"/>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Key fields</w:t>
            </w:r>
          </w:p>
        </w:tc>
        <w:tc>
          <w:tcPr>
            <w:tcW w:type="dxa" w:w="3744"/>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Notes</w:t>
            </w:r>
          </w:p>
        </w:tc>
      </w:tr>
      <w:tr>
        <w:tc>
          <w:tcPr>
            <w:tcW w:type="dxa" w:w="1872"/>
            <w:tcMar>
              <w:top w:type="dxa" w:w="80"/>
              <w:left w:type="dxa" w:w="110"/>
              <w:bottom w:type="dxa" w:w="80"/>
              <w:right w:type="dxa" w:w="110"/>
            </w:tcMar>
          </w:tcPr>
          <w:p>
            <w:pPr>
              <w:spacing w:after="0" w:line="260"/>
            </w:pPr>
            <w:r>
              <w:rPr>
                <w:b/>
                <w:bCs/>
                <w:i w:val="false"/>
                <w:iCs w:val="false"/>
                <w:color w:val="1A1A1A"/>
                <w:sz w:val="19"/>
                <w:szCs w:val="19"/>
              </w:rPr>
              <w:t xml:space="preserve">user</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id, phone, email, display_name, identity_level (L0–L4), kyc_reference, created_at</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identity_level drives every gate in the product. KYC reference points at the provider record, never at raw document data.</w:t>
            </w:r>
          </w:p>
        </w:tc>
      </w:tr>
      <w:tr>
        <w:tc>
          <w:tcPr>
            <w:tcW w:type="dxa" w:w="1872"/>
            <w:tcMar>
              <w:top w:type="dxa" w:w="80"/>
              <w:left w:type="dxa" w:w="110"/>
              <w:bottom w:type="dxa" w:w="80"/>
              <w:right w:type="dxa" w:w="110"/>
            </w:tcMar>
          </w:tcPr>
          <w:p>
            <w:pPr>
              <w:spacing w:after="0" w:line="260"/>
            </w:pPr>
            <w:r>
              <w:rPr>
                <w:b/>
                <w:bCs/>
                <w:i w:val="false"/>
                <w:iCs w:val="false"/>
                <w:color w:val="1A1A1A"/>
                <w:sz w:val="19"/>
                <w:szCs w:val="19"/>
              </w:rPr>
              <w:t xml:space="preserve">firm</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id, name, cac_number, credentials, verification_status, branded_profile</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Firms are first-class. Nigeria is firm-centric and the anchor partnership depends on this.</w:t>
            </w:r>
          </w:p>
        </w:tc>
      </w:tr>
      <w:tr>
        <w:tc>
          <w:tcPr>
            <w:tcW w:type="dxa" w:w="1872"/>
            <w:tcMar>
              <w:top w:type="dxa" w:w="80"/>
              <w:left w:type="dxa" w:w="110"/>
              <w:bottom w:type="dxa" w:w="80"/>
              <w:right w:type="dxa" w:w="110"/>
            </w:tcMar>
          </w:tcPr>
          <w:p>
            <w:pPr>
              <w:spacing w:after="0" w:line="260"/>
            </w:pPr>
            <w:r>
              <w:rPr>
                <w:b/>
                <w:bCs/>
                <w:i w:val="false"/>
                <w:iCs w:val="false"/>
                <w:color w:val="1A1A1A"/>
                <w:sz w:val="19"/>
                <w:szCs w:val="19"/>
              </w:rPr>
              <w:t xml:space="preserve">agent_profile</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user_id, firm_id, esvarbon_niesv, years_active, indemnity_recorded, tier, approved_by, approved_at</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Separate from user so an individual can hold a professional profile without conflating identity with credentials.</w:t>
            </w:r>
          </w:p>
        </w:tc>
      </w:tr>
      <w:tr>
        <w:tc>
          <w:tcPr>
            <w:tcW w:type="dxa" w:w="1872"/>
            <w:tcMar>
              <w:top w:type="dxa" w:w="80"/>
              <w:left w:type="dxa" w:w="110"/>
              <w:bottom w:type="dxa" w:w="80"/>
              <w:right w:type="dxa" w:w="110"/>
            </w:tcMar>
          </w:tcPr>
          <w:p>
            <w:pPr>
              <w:spacing w:after="0" w:line="260"/>
            </w:pPr>
            <w:r>
              <w:rPr>
                <w:b/>
                <w:bCs/>
                <w:i w:val="false"/>
                <w:iCs w:val="false"/>
                <w:color w:val="1A1A1A"/>
                <w:sz w:val="19"/>
                <w:szCs w:val="19"/>
              </w:rPr>
              <w:t xml:space="preserve">listing</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id, type, status, agent_id, firm_id, gazetteer_id, geom (point), parcel (polygon, nullable), price_naira (bigint), quote_basis, upfront_years, title_type, verification_tier</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Price is bigint whole naira. Never floats, never kobo.</w:t>
            </w:r>
          </w:p>
        </w:tc>
      </w:tr>
      <w:tr>
        <w:tc>
          <w:tcPr>
            <w:tcW w:type="dxa" w:w="1872"/>
            <w:tcMar>
              <w:top w:type="dxa" w:w="80"/>
              <w:left w:type="dxa" w:w="110"/>
              <w:bottom w:type="dxa" w:w="80"/>
              <w:right w:type="dxa" w:w="110"/>
            </w:tcMar>
          </w:tcPr>
          <w:p>
            <w:pPr>
              <w:spacing w:after="0" w:line="260"/>
            </w:pPr>
            <w:r>
              <w:rPr>
                <w:b/>
                <w:bCs/>
                <w:i w:val="false"/>
                <w:iCs w:val="false"/>
                <w:color w:val="1A1A1A"/>
                <w:sz w:val="19"/>
                <w:szCs w:val="19"/>
              </w:rPr>
              <w:t xml:space="preserve">listing_media</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id, listing_id, ordinal, r2_key, derivatives, phash, capture_date</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phash drives the stolen-photo check.</w:t>
            </w:r>
          </w:p>
        </w:tc>
      </w:tr>
      <w:tr>
        <w:tc>
          <w:tcPr>
            <w:tcW w:type="dxa" w:w="1872"/>
            <w:tcMar>
              <w:top w:type="dxa" w:w="80"/>
              <w:left w:type="dxa" w:w="110"/>
              <w:bottom w:type="dxa" w:w="80"/>
              <w:right w:type="dxa" w:w="110"/>
            </w:tcMar>
          </w:tcPr>
          <w:p>
            <w:pPr>
              <w:spacing w:after="0" w:line="260"/>
            </w:pPr>
            <w:r>
              <w:rPr>
                <w:b/>
                <w:bCs/>
                <w:i w:val="false"/>
                <w:iCs w:val="false"/>
                <w:color w:val="1A1A1A"/>
                <w:sz w:val="19"/>
                <w:szCs w:val="19"/>
              </w:rPr>
              <w:t xml:space="preserve">fee_line</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id, listing_id, kind, amount_naira, is_percentage, refundable, disclosed_at</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Required at listing creation. The Total Cost of Acquisition is computed from these rows, not stored as a single number.</w:t>
            </w:r>
          </w:p>
        </w:tc>
      </w:tr>
      <w:tr>
        <w:tc>
          <w:tcPr>
            <w:tcW w:type="dxa" w:w="1872"/>
            <w:tcMar>
              <w:top w:type="dxa" w:w="80"/>
              <w:left w:type="dxa" w:w="110"/>
              <w:bottom w:type="dxa" w:w="80"/>
              <w:right w:type="dxa" w:w="110"/>
            </w:tcMar>
          </w:tcPr>
          <w:p>
            <w:pPr>
              <w:spacing w:after="0" w:line="260"/>
            </w:pPr>
            <w:r>
              <w:rPr>
                <w:b/>
                <w:bCs/>
                <w:i w:val="false"/>
                <w:iCs w:val="false"/>
                <w:color w:val="1A1A1A"/>
                <w:sz w:val="19"/>
                <w:szCs w:val="19"/>
              </w:rPr>
              <w:t xml:space="preserve">gazetteer_entry</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id, name, aliases, kind (estate/district/landmark), city, geom, boundary (polygon, nullable)</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Hand-curated. Aliases carry the common misspellings.</w:t>
            </w:r>
          </w:p>
        </w:tc>
      </w:tr>
      <w:tr>
        <w:tc>
          <w:tcPr>
            <w:tcW w:type="dxa" w:w="1872"/>
            <w:tcMar>
              <w:top w:type="dxa" w:w="80"/>
              <w:left w:type="dxa" w:w="110"/>
              <w:bottom w:type="dxa" w:w="80"/>
              <w:right w:type="dxa" w:w="110"/>
            </w:tcMar>
          </w:tcPr>
          <w:p>
            <w:pPr>
              <w:spacing w:after="0" w:line="260"/>
            </w:pPr>
            <w:r>
              <w:rPr>
                <w:b/>
                <w:bCs/>
                <w:i w:val="false"/>
                <w:iCs w:val="false"/>
                <w:color w:val="1A1A1A"/>
                <w:sz w:val="19"/>
                <w:szCs w:val="19"/>
              </w:rPr>
              <w:t xml:space="preserve">acquisition_zone</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id, name, authority, boundary (polygon), source, recorded_at</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Source and date recorded because the data provenance is itself contestable.</w:t>
            </w:r>
          </w:p>
        </w:tc>
      </w:tr>
      <w:tr>
        <w:tc>
          <w:tcPr>
            <w:tcW w:type="dxa" w:w="1872"/>
            <w:tcMar>
              <w:top w:type="dxa" w:w="80"/>
              <w:left w:type="dxa" w:w="110"/>
              <w:bottom w:type="dxa" w:w="80"/>
              <w:right w:type="dxa" w:w="110"/>
            </w:tcMar>
          </w:tcPr>
          <w:p>
            <w:pPr>
              <w:spacing w:after="0" w:line="260"/>
            </w:pPr>
            <w:r>
              <w:rPr>
                <w:b/>
                <w:bCs/>
                <w:i w:val="false"/>
                <w:iCs w:val="false"/>
                <w:color w:val="1A1A1A"/>
                <w:sz w:val="19"/>
                <w:szCs w:val="19"/>
              </w:rPr>
              <w:t xml:space="preserve">verification</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id, listing_id, tier_granted, verifying_firm_id, solicitor_name, scope_statement, checked_at, outcome, acquisition_result</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Versioned, never overwritten. A re-check creates a new row.</w:t>
            </w:r>
          </w:p>
        </w:tc>
      </w:tr>
      <w:tr>
        <w:tc>
          <w:tcPr>
            <w:tcW w:type="dxa" w:w="1872"/>
            <w:tcMar>
              <w:top w:type="dxa" w:w="80"/>
              <w:left w:type="dxa" w:w="110"/>
              <w:bottom w:type="dxa" w:w="80"/>
              <w:right w:type="dxa" w:w="110"/>
            </w:tcMar>
          </w:tcPr>
          <w:p>
            <w:pPr>
              <w:spacing w:after="0" w:line="260"/>
            </w:pPr>
            <w:r>
              <w:rPr>
                <w:b/>
                <w:bCs/>
                <w:i w:val="false"/>
                <w:iCs w:val="false"/>
                <w:color w:val="1A1A1A"/>
                <w:sz w:val="19"/>
                <w:szCs w:val="19"/>
              </w:rPr>
              <w:t xml:space="preserve">inspection</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id, listing_id, buyer_id, agent_id, scheduled_for, kind (self/certified), status, surveyor_id, report_key</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Certified inspections produce the Inspection-Certified badge.</w:t>
            </w:r>
          </w:p>
        </w:tc>
      </w:tr>
      <w:tr>
        <w:tc>
          <w:tcPr>
            <w:tcW w:type="dxa" w:w="1872"/>
            <w:tcMar>
              <w:top w:type="dxa" w:w="80"/>
              <w:left w:type="dxa" w:w="110"/>
              <w:bottom w:type="dxa" w:w="80"/>
              <w:right w:type="dxa" w:w="110"/>
            </w:tcMar>
          </w:tcPr>
          <w:p>
            <w:pPr>
              <w:spacing w:after="0" w:line="260"/>
            </w:pPr>
            <w:r>
              <w:rPr>
                <w:b/>
                <w:bCs/>
                <w:i w:val="false"/>
                <w:iCs w:val="false"/>
                <w:color w:val="1A1A1A"/>
                <w:sz w:val="19"/>
                <w:szCs w:val="19"/>
              </w:rPr>
              <w:t xml:space="preserve">thread / message</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thread: id, listing_id, buyer_id, agent_id, fee_schedule_snapshot · message: id, thread_id, sender_id, body, sent_at</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The fee schedule is snapshotted onto the thread so the disclosure is part of the conversation record.</w:t>
            </w:r>
          </w:p>
        </w:tc>
      </w:tr>
      <w:tr>
        <w:tc>
          <w:tcPr>
            <w:tcW w:type="dxa" w:w="1872"/>
            <w:tcMar>
              <w:top w:type="dxa" w:w="80"/>
              <w:left w:type="dxa" w:w="110"/>
              <w:bottom w:type="dxa" w:w="80"/>
              <w:right w:type="dxa" w:w="110"/>
            </w:tcMar>
          </w:tcPr>
          <w:p>
            <w:pPr>
              <w:spacing w:after="0" w:line="260"/>
            </w:pPr>
            <w:r>
              <w:rPr>
                <w:b/>
                <w:bCs/>
                <w:i w:val="false"/>
                <w:iCs w:val="false"/>
                <w:color w:val="1A1A1A"/>
                <w:sz w:val="19"/>
                <w:szCs w:val="19"/>
              </w:rPr>
              <w:t xml:space="preserve">fraud_flag</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id, listing_id, kind, evidence, status, resolved_by, resolved_at</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Written by workers, worked by humans.</w:t>
            </w:r>
          </w:p>
        </w:tc>
      </w:tr>
      <w:tr>
        <w:tc>
          <w:tcPr>
            <w:tcW w:type="dxa" w:w="1872"/>
            <w:tcMar>
              <w:top w:type="dxa" w:w="80"/>
              <w:left w:type="dxa" w:w="110"/>
              <w:bottom w:type="dxa" w:w="80"/>
              <w:right w:type="dxa" w:w="110"/>
            </w:tcMar>
          </w:tcPr>
          <w:p>
            <w:pPr>
              <w:spacing w:after="0" w:line="260"/>
            </w:pPr>
            <w:r>
              <w:rPr>
                <w:b/>
                <w:bCs/>
                <w:i w:val="false"/>
                <w:iCs w:val="false"/>
                <w:color w:val="1A1A1A"/>
                <w:sz w:val="19"/>
                <w:szCs w:val="19"/>
              </w:rPr>
              <w:t xml:space="preserve">audit_log</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id, actor_id, action, target_type, target_id, reason, created_at</w:t>
            </w:r>
          </w:p>
        </w:tc>
        <w:tc>
          <w:tcPr>
            <w:tcW w:type="dxa" w:w="3744"/>
            <w:tcMar>
              <w:top w:type="dxa" w:w="80"/>
              <w:left w:type="dxa" w:w="110"/>
              <w:bottom w:type="dxa" w:w="80"/>
              <w:right w:type="dxa" w:w="110"/>
            </w:tcMar>
          </w:tcPr>
          <w:p>
            <w:pPr>
              <w:spacing w:after="0" w:line="260"/>
            </w:pPr>
            <w:r>
              <w:rPr>
                <w:b w:val="false"/>
                <w:bCs w:val="false"/>
                <w:i w:val="false"/>
                <w:iCs w:val="false"/>
                <w:color w:val="1A1A1A"/>
                <w:sz w:val="19"/>
                <w:szCs w:val="19"/>
              </w:rPr>
              <w:t xml:space="preserve">Append-only. UPDATE and DELETE revoked at the database level.</w:t>
            </w:r>
          </w:p>
        </w:tc>
      </w:tr>
    </w:tbl>
    <w:p>
      <w:pPr>
        <w:spacing w:after="160"/>
      </w:pPr>
      <w:r>
        <w:rPr>
          <w:sz w:val="2"/>
          <w:szCs w:val="2"/>
        </w:rPr>
        <w:t xml:space="preserve"/>
      </w:r>
    </w:p>
    <w:p>
      <w:pPr>
        <w:pStyle w:val="Heading3"/>
        <w:spacing w:after="100" w:before="200"/>
      </w:pPr>
      <w:r>
        <w:rPr>
          <w:b/>
          <w:bCs/>
          <w:i w:val="false"/>
          <w:iCs w:val="false"/>
          <w:color w:val="333333"/>
          <w:sz w:val="21"/>
          <w:szCs w:val="21"/>
        </w:rPr>
        <w:t xml:space="preserve">Decisions worth flagging</w:t>
      </w:r>
    </w:p>
    <w:p>
      <w:pPr>
        <w:pStyle w:val="ListParagraph"/>
        <w:numPr>
          <w:ilvl w:val="0"/>
          <w:numId w:val="3"/>
        </w:numPr>
        <w:spacing w:after="90" w:line="280"/>
      </w:pPr>
      <w:r>
        <w:rPr>
          <w:b/>
          <w:bCs/>
          <w:i w:val="false"/>
          <w:iCs w:val="false"/>
          <w:color w:val="1A1A1A"/>
          <w:sz w:val="21"/>
          <w:szCs w:val="21"/>
        </w:rPr>
        <w:t xml:space="preserve">Price as bigint whole naira. </w:t>
      </w:r>
      <w:r>
        <w:rPr>
          <w:b w:val="false"/>
          <w:bCs w:val="false"/>
          <w:i w:val="false"/>
          <w:iCs w:val="false"/>
          <w:color w:val="1A1A1A"/>
          <w:sz w:val="21"/>
          <w:szCs w:val="21"/>
        </w:rPr>
        <w:t xml:space="preserve">Floating-point money is a classic defect and naira transactions are large enough that precision errors would be visible. Kobo is not used in property pricing.</w:t>
      </w:r>
    </w:p>
    <w:p>
      <w:pPr>
        <w:pStyle w:val="ListParagraph"/>
        <w:numPr>
          <w:ilvl w:val="0"/>
          <w:numId w:val="3"/>
        </w:numPr>
        <w:spacing w:after="90" w:line="280"/>
      </w:pPr>
      <w:r>
        <w:rPr>
          <w:b/>
          <w:bCs/>
          <w:i w:val="false"/>
          <w:iCs w:val="false"/>
          <w:color w:val="1A1A1A"/>
          <w:sz w:val="21"/>
          <w:szCs w:val="21"/>
        </w:rPr>
        <w:t xml:space="preserve">Fee lines as rows, not a JSON blob. </w:t>
      </w:r>
      <w:r>
        <w:rPr>
          <w:b w:val="false"/>
          <w:bCs w:val="false"/>
          <w:i w:val="false"/>
          <w:iCs w:val="false"/>
          <w:color w:val="1A1A1A"/>
          <w:sz w:val="21"/>
          <w:szCs w:val="21"/>
        </w:rPr>
        <w:t xml:space="preserve">The ledger must be queryable, comparable across listings, and — from Phase 2 — lockable at offer acceptance. Rows make all three straightforward.</w:t>
      </w:r>
    </w:p>
    <w:p>
      <w:pPr>
        <w:pStyle w:val="ListParagraph"/>
        <w:numPr>
          <w:ilvl w:val="0"/>
          <w:numId w:val="3"/>
        </w:numPr>
        <w:spacing w:after="90" w:line="280"/>
      </w:pPr>
      <w:r>
        <w:rPr>
          <w:b/>
          <w:bCs/>
          <w:i w:val="false"/>
          <w:iCs w:val="false"/>
          <w:color w:val="1A1A1A"/>
          <w:sz w:val="21"/>
          <w:szCs w:val="21"/>
        </w:rPr>
        <w:t xml:space="preserve">Verification versioned rather than mutated. </w:t>
      </w:r>
      <w:r>
        <w:rPr>
          <w:b w:val="false"/>
          <w:bCs w:val="false"/>
          <w:i w:val="false"/>
          <w:iCs w:val="false"/>
          <w:color w:val="1A1A1A"/>
          <w:sz w:val="21"/>
          <w:szCs w:val="21"/>
        </w:rPr>
        <w:t xml:space="preserve">A check is a snapshot with a date. Overwriting it would destroy the very record the product sells.</w:t>
      </w:r>
    </w:p>
    <w:p>
      <w:pPr>
        <w:pStyle w:val="ListParagraph"/>
        <w:numPr>
          <w:ilvl w:val="0"/>
          <w:numId w:val="3"/>
        </w:numPr>
        <w:spacing w:after="90" w:line="280"/>
      </w:pPr>
      <w:r>
        <w:rPr>
          <w:b/>
          <w:bCs/>
          <w:i w:val="false"/>
          <w:iCs w:val="false"/>
          <w:color w:val="1A1A1A"/>
          <w:sz w:val="21"/>
          <w:szCs w:val="21"/>
        </w:rPr>
        <w:t xml:space="preserve">No raw KYC documents stored. </w:t>
      </w:r>
      <w:r>
        <w:rPr>
          <w:b w:val="false"/>
          <w:bCs w:val="false"/>
          <w:i w:val="false"/>
          <w:iCs w:val="false"/>
          <w:color w:val="1A1A1A"/>
          <w:sz w:val="21"/>
          <w:szCs w:val="21"/>
        </w:rPr>
        <w:t xml:space="preserve">Store the provider’s reference and outcome. Holding NIN or BVN document images creates NDPR exposure with no product benefit.</w:t>
      </w:r>
    </w:p>
    <w:p>
      <w:pPr>
        <w:pStyle w:val="Heading1"/>
        <w:spacing w:after="160" w:before="360"/>
      </w:pPr>
      <w:r>
        <w:rPr>
          <w:b/>
          <w:bCs/>
          <w:i w:val="false"/>
          <w:iCs w:val="false"/>
          <w:color w:val="1F4E5F"/>
          <w:sz w:val="30"/>
          <w:szCs w:val="30"/>
        </w:rPr>
        <w:t xml:space="preserve">Build sequence</w:t>
      </w:r>
    </w:p>
    <w:p>
      <w:pPr>
        <w:spacing w:after="140" w:line="280"/>
      </w:pPr>
      <w:r>
        <w:rPr>
          <w:b w:val="false"/>
          <w:bCs w:val="false"/>
          <w:i w:val="false"/>
          <w:iCs w:val="false"/>
          <w:color w:val="1A1A1A"/>
          <w:sz w:val="21"/>
          <w:szCs w:val="21"/>
        </w:rPr>
        <w:t xml:space="preserve">Aligned to the Build Brief. Each step is a natural stopping point — working and verified before the next begins.</w:t>
      </w:r>
    </w:p>
    <w:tbl>
      <w:tblPr>
        <w:tblW w:type="dxa" w:w="9072"/>
        <w:tblBorders>
          <w:top w:val="single" w:color="B8C4CC" w:sz="4"/>
          <w:left w:val="single" w:color="B8C4CC" w:sz="4"/>
          <w:bottom w:val="single" w:color="B8C4CC" w:sz="4"/>
          <w:right w:val="single" w:color="B8C4CC" w:sz="4"/>
          <w:insideH w:val="single" w:color="D5DDE2" w:sz="3"/>
          <w:insideV w:val="single" w:color="D5DDE2" w:sz="3"/>
        </w:tblBorders>
      </w:tblPr>
      <w:tblGrid>
        <w:gridCol w:w="720"/>
        <w:gridCol w:w="1944"/>
        <w:gridCol w:w="5616"/>
        <w:gridCol w:w="792"/>
      </w:tblGrid>
      <w:tr>
        <w:trPr>
          <w:tblHeader/>
        </w:trPr>
        <w:tc>
          <w:tcPr>
            <w:tcW w:type="dxa" w:w="720"/>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Step</w:t>
            </w:r>
          </w:p>
        </w:tc>
        <w:tc>
          <w:tcPr>
            <w:tcW w:type="dxa" w:w="1944"/>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Module</w:t>
            </w:r>
          </w:p>
        </w:tc>
        <w:tc>
          <w:tcPr>
            <w:tcW w:type="dxa" w:w="5616"/>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What must work before moving on</w:t>
            </w:r>
          </w:p>
        </w:tc>
        <w:tc>
          <w:tcPr>
            <w:tcW w:type="dxa" w:w="792"/>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Phase</w:t>
            </w:r>
          </w:p>
        </w:tc>
      </w:tr>
      <w:tr>
        <w:tc>
          <w:tcPr>
            <w:tcW w:type="dxa" w:w="7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1</w:t>
            </w:r>
          </w:p>
        </w:tc>
        <w:tc>
          <w:tcPr>
            <w:tcW w:type="dxa" w:w="1944"/>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Skeleton</w:t>
            </w:r>
          </w:p>
        </w:tc>
        <w:tc>
          <w:tcPr>
            <w:tcW w:type="dxa" w:w="5616"/>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App talks to backend, backend talks to database, one hardcoded listing card renders on a real phone. Done and verified.</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7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2</w:t>
            </w:r>
          </w:p>
        </w:tc>
        <w:tc>
          <w:tcPr>
            <w:tcW w:type="dxa" w:w="1944"/>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Listings</w:t>
            </w:r>
          </w:p>
        </w:tc>
        <w:tc>
          <w:tcPr>
            <w:tcW w:type="dxa" w:w="5616"/>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Create, browse, detail. Media upload with derivative generation. Real migrations replace synchronize here.</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7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3</w:t>
            </w:r>
          </w:p>
        </w:tc>
        <w:tc>
          <w:tcPr>
            <w:tcW w:type="dxa" w:w="1944"/>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Landmark search</w:t>
            </w:r>
          </w:p>
        </w:tc>
        <w:tc>
          <w:tcPr>
            <w:tcW w:type="dxa" w:w="5616"/>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Typesense index synced from Postgres. Gazetteer seeded. Typo-tolerant autocomplete returning sensible results.</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7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4</w:t>
            </w:r>
          </w:p>
        </w:tc>
        <w:tc>
          <w:tcPr>
            <w:tcW w:type="dxa" w:w="1944"/>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Trust Panel</w:t>
            </w:r>
          </w:p>
        </w:tc>
        <w:tc>
          <w:tcPr>
            <w:tcW w:type="dxa" w:w="5616"/>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Verification tiers, title-type risk labelling, badges on cards and detail pages. Above the fold.</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7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5</w:t>
            </w:r>
          </w:p>
        </w:tc>
        <w:tc>
          <w:tcPr>
            <w:tcW w:type="dxa" w:w="1944"/>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Fee ledger</w:t>
            </w:r>
          </w:p>
        </w:tc>
        <w:tc>
          <w:tcPr>
            <w:tcW w:type="dxa" w:w="5616"/>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Itemised fee lines required at listing creation; Total Cost of Acquisition computed and displayed.</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7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6</w:t>
            </w:r>
          </w:p>
        </w:tc>
        <w:tc>
          <w:tcPr>
            <w:tcW w:type="dxa" w:w="1944"/>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Chat + WhatsApp</w:t>
            </w:r>
          </w:p>
        </w:tc>
        <w:tc>
          <w:tcPr>
            <w:tcW w:type="dxa" w:w="5616"/>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In-app threads with proxied contact details. WhatsApp BSP delivering notifications.</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7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7</w:t>
            </w:r>
          </w:p>
        </w:tc>
        <w:tc>
          <w:tcPr>
            <w:tcW w:type="dxa" w:w="1944"/>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Inspection booking</w:t>
            </w:r>
          </w:p>
        </w:tc>
        <w:tc>
          <w:tcPr>
            <w:tcW w:type="dxa" w:w="5616"/>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Scheduling, reminders, attendance confirmation. Paystack for paid certified reports.</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720"/>
            <w:shd w:fill="E4F0E6" w:color="auto" w:val="clear"/>
            <w:tcMar>
              <w:top w:type="dxa" w:w="80"/>
              <w:left w:type="dxa" w:w="110"/>
              <w:bottom w:type="dxa" w:w="80"/>
              <w:right w:type="dxa" w:w="110"/>
            </w:tcMar>
          </w:tcPr>
          <w:p>
            <w:pPr>
              <w:spacing w:after="0" w:line="260"/>
            </w:pPr>
            <w:r>
              <w:rPr>
                <w:b/>
                <w:bCs/>
                <w:i w:val="false"/>
                <w:iCs w:val="false"/>
                <w:color w:val="1A1A1A"/>
                <w:sz w:val="19"/>
                <w:szCs w:val="19"/>
              </w:rPr>
              <w:t xml:space="preserve">8</w:t>
            </w:r>
          </w:p>
        </w:tc>
        <w:tc>
          <w:tcPr>
            <w:tcW w:type="dxa" w:w="1944"/>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Verification + admin</w:t>
            </w:r>
          </w:p>
        </w:tc>
        <w:tc>
          <w:tcPr>
            <w:tcW w:type="dxa" w:w="5616"/>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Agent KYC flow, document upload, internal review queues, append-only audit log, 2FA on internal accounts.</w:t>
            </w:r>
          </w:p>
        </w:tc>
        <w:tc>
          <w:tcPr>
            <w:tcW w:type="dxa" w:w="792"/>
            <w:shd w:fill="E4F0E6"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1</w:t>
            </w:r>
          </w:p>
        </w:tc>
      </w:tr>
      <w:tr>
        <w:tc>
          <w:tcPr>
            <w:tcW w:type="dxa" w:w="720"/>
            <w:shd w:fill="FBEDE4" w:color="auto" w:val="clear"/>
            <w:tcMar>
              <w:top w:type="dxa" w:w="80"/>
              <w:left w:type="dxa" w:w="110"/>
              <w:bottom w:type="dxa" w:w="80"/>
              <w:right w:type="dxa" w:w="110"/>
            </w:tcMar>
          </w:tcPr>
          <w:p>
            <w:pPr>
              <w:spacing w:after="0" w:line="260"/>
            </w:pPr>
            <w:r>
              <w:rPr>
                <w:b/>
                <w:bCs/>
                <w:i w:val="false"/>
                <w:iCs w:val="false"/>
                <w:color w:val="1A1A1A"/>
                <w:sz w:val="19"/>
                <w:szCs w:val="19"/>
              </w:rPr>
              <w:t xml:space="preserve">—</w:t>
            </w:r>
          </w:p>
        </w:tc>
        <w:tc>
          <w:tcPr>
            <w:tcW w:type="dxa" w:w="1944"/>
            <w:shd w:fill="FBEDE4"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Security line</w:t>
            </w:r>
          </w:p>
        </w:tc>
        <w:tc>
          <w:tcPr>
            <w:tcW w:type="dxa" w:w="5616"/>
            <w:shd w:fill="FBEDE4"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Experienced engineer on the team and a completed security review. Non-negotiable gate.</w:t>
            </w:r>
          </w:p>
        </w:tc>
        <w:tc>
          <w:tcPr>
            <w:tcW w:type="dxa" w:w="792"/>
            <w:shd w:fill="FBEDE4"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w:t>
            </w:r>
          </w:p>
        </w:tc>
      </w:tr>
      <w:tr>
        <w:tc>
          <w:tcPr>
            <w:tcW w:type="dxa" w:w="720"/>
            <w:shd w:fill="FBEDE4" w:color="auto" w:val="clear"/>
            <w:tcMar>
              <w:top w:type="dxa" w:w="80"/>
              <w:left w:type="dxa" w:w="110"/>
              <w:bottom w:type="dxa" w:w="80"/>
              <w:right w:type="dxa" w:w="110"/>
            </w:tcMar>
          </w:tcPr>
          <w:p>
            <w:pPr>
              <w:spacing w:after="0" w:line="260"/>
            </w:pPr>
            <w:r>
              <w:rPr>
                <w:b/>
                <w:bCs/>
                <w:i w:val="false"/>
                <w:iCs w:val="false"/>
                <w:color w:val="1A1A1A"/>
                <w:sz w:val="19"/>
                <w:szCs w:val="19"/>
              </w:rPr>
              <w:t xml:space="preserve">9+</w:t>
            </w:r>
          </w:p>
        </w:tc>
        <w:tc>
          <w:tcPr>
            <w:tcW w:type="dxa" w:w="1944"/>
            <w:shd w:fill="FBEDE4"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Transaction rail</w:t>
            </w:r>
          </w:p>
        </w:tc>
        <w:tc>
          <w:tcPr>
            <w:tcW w:type="dxa" w:w="5616"/>
            <w:shd w:fill="FBEDE4"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Escrow adapter, contract generation and e-sign, milestone engine, dispute tooling, 3D capture.</w:t>
            </w:r>
          </w:p>
        </w:tc>
        <w:tc>
          <w:tcPr>
            <w:tcW w:type="dxa" w:w="792"/>
            <w:shd w:fill="FBEDE4" w:color="auto" w:val="clear"/>
            <w:tcMar>
              <w:top w:type="dxa" w:w="80"/>
              <w:left w:type="dxa" w:w="110"/>
              <w:bottom w:type="dxa" w:w="80"/>
              <w:right w:type="dxa" w:w="110"/>
            </w:tcMar>
          </w:tcPr>
          <w:p>
            <w:pPr>
              <w:spacing w:after="0" w:line="260"/>
            </w:pPr>
            <w:r>
              <w:rPr>
                <w:b w:val="false"/>
                <w:bCs w:val="false"/>
                <w:i w:val="false"/>
                <w:iCs w:val="false"/>
                <w:color w:val="1A1A1A"/>
                <w:sz w:val="19"/>
                <w:szCs w:val="19"/>
              </w:rPr>
              <w:t xml:space="preserve">2</w:t>
            </w:r>
          </w:p>
        </w:tc>
      </w:tr>
    </w:tbl>
    <w:p>
      <w:pPr>
        <w:spacing w:after="160"/>
      </w:pPr>
      <w:r>
        <w:rPr>
          <w:sz w:val="2"/>
          <w:szCs w:val="2"/>
        </w:rPr>
        <w:t xml:space="preserve"/>
      </w:r>
    </w:p>
    <w:p>
      <w:pPr>
        <w:spacing w:after="140" w:line="280"/>
      </w:pPr>
      <w:r>
        <w:rPr>
          <w:b/>
          <w:bCs/>
          <w:i w:val="false"/>
          <w:iCs w:val="false"/>
          <w:color w:val="1A1A1A"/>
          <w:sz w:val="21"/>
          <w:szCs w:val="21"/>
        </w:rPr>
        <w:t xml:space="preserve">The migration note matters. </w:t>
      </w:r>
      <w:r>
        <w:rPr>
          <w:b w:val="false"/>
          <w:bCs w:val="false"/>
          <w:i w:val="false"/>
          <w:iCs w:val="false"/>
          <w:color w:val="1A1A1A"/>
          <w:sz w:val="21"/>
          <w:szCs w:val="21"/>
        </w:rPr>
        <w:t xml:space="preserve">TypeORM’s synchronize is convenient for a skeleton and dangerous thereafter — it will silently drop columns. Move to real migrations at Step 2, before any schema exists that would hurt to lose.</w:t>
      </w:r>
    </w:p>
    <w:p>
      <w:pPr>
        <w:pStyle w:val="Heading1"/>
        <w:spacing w:after="160" w:before="360"/>
      </w:pPr>
      <w:r>
        <w:rPr>
          <w:b/>
          <w:bCs/>
          <w:i w:val="false"/>
          <w:iCs w:val="false"/>
          <w:color w:val="1F4E5F"/>
          <w:sz w:val="30"/>
          <w:szCs w:val="30"/>
        </w:rPr>
        <w:t xml:space="preserve">Security posture</w:t>
      </w:r>
    </w:p>
    <w:p>
      <w:pPr>
        <w:spacing w:after="140" w:line="280"/>
      </w:pPr>
      <w:r>
        <w:rPr>
          <w:b w:val="false"/>
          <w:bCs w:val="false"/>
          <w:i w:val="false"/>
          <w:iCs w:val="false"/>
          <w:color w:val="1A1A1A"/>
          <w:sz w:val="21"/>
          <w:szCs w:val="21"/>
        </w:rPr>
        <w:t xml:space="preserve">Phase 1 moves no customer money, which is what makes AI-assisted development acceptable. That is a deliberate boundary, not an accident, and it should be stated plainly to anyone evaluating the codebase.</w:t>
      </w:r>
    </w:p>
    <w:p>
      <w:pPr>
        <w:pStyle w:val="Heading3"/>
        <w:spacing w:after="100" w:before="200"/>
      </w:pPr>
      <w:r>
        <w:rPr>
          <w:b/>
          <w:bCs/>
          <w:i w:val="false"/>
          <w:iCs w:val="false"/>
          <w:color w:val="333333"/>
          <w:sz w:val="21"/>
          <w:szCs w:val="21"/>
        </w:rPr>
        <w:t xml:space="preserve">In Phase 1, from day one</w:t>
      </w:r>
    </w:p>
    <w:p>
      <w:pPr>
        <w:pStyle w:val="ListParagraph"/>
        <w:numPr>
          <w:ilvl w:val="0"/>
          <w:numId w:val="3"/>
        </w:numPr>
        <w:spacing w:after="90" w:line="280"/>
      </w:pPr>
      <w:r>
        <w:rPr>
          <w:b w:val="false"/>
          <w:bCs w:val="false"/>
          <w:i w:val="false"/>
          <w:iCs w:val="false"/>
          <w:color w:val="1A1A1A"/>
          <w:sz w:val="21"/>
          <w:szCs w:val="21"/>
        </w:rPr>
        <w:t xml:space="preserve">Two-factor authentication on every internal account. No exceptions, no "we will add it later."</w:t>
      </w:r>
    </w:p>
    <w:p>
      <w:pPr>
        <w:pStyle w:val="ListParagraph"/>
        <w:numPr>
          <w:ilvl w:val="0"/>
          <w:numId w:val="3"/>
        </w:numPr>
        <w:spacing w:after="90" w:line="280"/>
      </w:pPr>
      <w:r>
        <w:rPr>
          <w:b w:val="false"/>
          <w:bCs w:val="false"/>
          <w:i w:val="false"/>
          <w:iCs w:val="false"/>
          <w:color w:val="1A1A1A"/>
          <w:sz w:val="21"/>
          <w:szCs w:val="21"/>
        </w:rPr>
        <w:t xml:space="preserve">Least privilege by role: support cannot approve verifications; reviewers cannot assign roles.</w:t>
      </w:r>
    </w:p>
    <w:p>
      <w:pPr>
        <w:pStyle w:val="ListParagraph"/>
        <w:numPr>
          <w:ilvl w:val="0"/>
          <w:numId w:val="3"/>
        </w:numPr>
        <w:spacing w:after="90" w:line="280"/>
      </w:pPr>
      <w:r>
        <w:rPr>
          <w:b w:val="false"/>
          <w:bCs w:val="false"/>
          <w:i w:val="false"/>
          <w:iCs w:val="false"/>
          <w:color w:val="1A1A1A"/>
          <w:sz w:val="21"/>
          <w:szCs w:val="21"/>
        </w:rPr>
        <w:t xml:space="preserve">Append-only audit log with UPDATE and DELETE revoked at the database level.</w:t>
      </w:r>
    </w:p>
    <w:p>
      <w:pPr>
        <w:pStyle w:val="ListParagraph"/>
        <w:numPr>
          <w:ilvl w:val="0"/>
          <w:numId w:val="3"/>
        </w:numPr>
        <w:spacing w:after="90" w:line="280"/>
      </w:pPr>
      <w:r>
        <w:rPr>
          <w:b w:val="false"/>
          <w:bCs w:val="false"/>
          <w:i w:val="false"/>
          <w:iCs w:val="false"/>
          <w:color w:val="1A1A1A"/>
          <w:sz w:val="21"/>
          <w:szCs w:val="21"/>
        </w:rPr>
        <w:t xml:space="preserve">No raw KYC documents at rest. Provider references only.</w:t>
      </w:r>
    </w:p>
    <w:p>
      <w:pPr>
        <w:pStyle w:val="ListParagraph"/>
        <w:numPr>
          <w:ilvl w:val="0"/>
          <w:numId w:val="3"/>
        </w:numPr>
        <w:spacing w:after="90" w:line="280"/>
      </w:pPr>
      <w:r>
        <w:rPr>
          <w:b w:val="false"/>
          <w:bCs w:val="false"/>
          <w:i w:val="false"/>
          <w:iCs w:val="false"/>
          <w:color w:val="1A1A1A"/>
          <w:sz w:val="21"/>
          <w:szCs w:val="21"/>
        </w:rPr>
        <w:t xml:space="preserve">Signed URLs with short expiry for document access. Title documents are not public objects.</w:t>
      </w:r>
    </w:p>
    <w:p>
      <w:pPr>
        <w:pStyle w:val="ListParagraph"/>
        <w:numPr>
          <w:ilvl w:val="0"/>
          <w:numId w:val="3"/>
        </w:numPr>
        <w:spacing w:after="90" w:line="280"/>
      </w:pPr>
      <w:r>
        <w:rPr>
          <w:b w:val="false"/>
          <w:bCs w:val="false"/>
          <w:i w:val="false"/>
          <w:iCs w:val="false"/>
          <w:color w:val="1A1A1A"/>
          <w:sz w:val="21"/>
          <w:szCs w:val="21"/>
        </w:rPr>
        <w:t xml:space="preserve">NDPR considerations designed in — data minimisation, retention limits, and a deletion path — rather than retrofitted under pressure.</w:t>
      </w:r>
    </w:p>
    <w:p>
      <w:pPr>
        <w:pStyle w:val="ListParagraph"/>
        <w:numPr>
          <w:ilvl w:val="0"/>
          <w:numId w:val="3"/>
        </w:numPr>
        <w:spacing w:after="90" w:line="280"/>
      </w:pPr>
      <w:r>
        <w:rPr>
          <w:b w:val="false"/>
          <w:bCs w:val="false"/>
          <w:i w:val="false"/>
          <w:iCs w:val="false"/>
          <w:color w:val="1A1A1A"/>
          <w:sz w:val="21"/>
          <w:szCs w:val="21"/>
        </w:rPr>
        <w:t xml:space="preserve">Rate limiting on contact, enquiry, and listing-creation endpoints. These are the abuse surfaces.</w:t>
      </w:r>
    </w:p>
    <w:p>
      <w:pPr>
        <w:pStyle w:val="Heading3"/>
        <w:spacing w:after="100" w:before="200"/>
      </w:pPr>
      <w:r>
        <w:rPr>
          <w:b/>
          <w:bCs/>
          <w:i w:val="false"/>
          <w:iCs w:val="false"/>
          <w:color w:val="333333"/>
          <w:sz w:val="21"/>
          <w:szCs w:val="21"/>
        </w:rPr>
        <w:t xml:space="preserve">Before Phase 2 — the security line</w:t>
      </w:r>
    </w:p>
    <w:p>
      <w:pPr>
        <w:pBdr>
          <w:left w:val="single" w:color="1F4E5F" w:sz="18" w:space="12"/>
        </w:pBdr>
        <w:spacing w:after="200" w:before="160" w:line="300"/>
        <w:ind w:left="504"/>
      </w:pPr>
      <w:r>
        <w:rPr>
          <w:b w:val="false"/>
          <w:bCs w:val="false"/>
          <w:i/>
          <w:iCs/>
          <w:color w:val="2A2A2A"/>
          <w:sz w:val="23"/>
          <w:szCs w:val="23"/>
        </w:rPr>
        <w:t xml:space="preserve">An experienced engineer on the team and a completed security review. Both, before anything touches customer money.</w:t>
      </w:r>
    </w:p>
    <w:p>
      <w:pPr>
        <w:spacing w:after="140" w:line="280"/>
      </w:pPr>
      <w:r>
        <w:rPr>
          <w:b w:val="false"/>
          <w:bCs w:val="false"/>
          <w:i w:val="false"/>
          <w:iCs w:val="false"/>
          <w:color w:val="1A1A1A"/>
          <w:sz w:val="21"/>
          <w:szCs w:val="21"/>
        </w:rPr>
        <w:t xml:space="preserve">The gap between "working app" and "app I would trust with a ₦40M land purchase" is security, edge cases, and operational maturity. Escrow integration, contract generation, and funds-adjacent state machines are where a subtle defect becomes someone’s life savings. This line is not a formality and it should not be crossed solo, however well Phase 1 has gone.</w:t>
      </w:r>
    </w:p>
    <w:p>
      <w:pPr>
        <w:pStyle w:val="Heading1"/>
        <w:spacing w:after="160" w:before="360"/>
      </w:pPr>
      <w:r>
        <w:rPr>
          <w:b/>
          <w:bCs/>
          <w:i w:val="false"/>
          <w:iCs w:val="false"/>
          <w:color w:val="1F4E5F"/>
          <w:sz w:val="30"/>
          <w:szCs w:val="30"/>
        </w:rPr>
        <w:t xml:space="preserve">Cost posture for a lean launch</w:t>
      </w:r>
    </w:p>
    <w:p>
      <w:pPr>
        <w:spacing w:after="140" w:line="280"/>
      </w:pPr>
      <w:r>
        <w:rPr>
          <w:b w:val="false"/>
          <w:bCs w:val="false"/>
          <w:i w:val="false"/>
          <w:iCs w:val="false"/>
          <w:color w:val="1A1A1A"/>
          <w:sz w:val="21"/>
          <w:szCs w:val="21"/>
        </w:rPr>
        <w:t xml:space="preserve">Phase 1 is designed to run cheaply while inventory is deliberately small. The pattern to note is that the meaningful costs are per-usage — they arrive alongside revenue rather than ahead of it.</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160"/>
        <w:gridCol w:w="4896"/>
        <w:gridCol w:w="2304"/>
      </w:tblGrid>
      <w:tr>
        <w:trPr>
          <w:tblHeader/>
        </w:trPr>
        <w:tc>
          <w:tcPr>
            <w:tcW w:type="dxa" w:w="2160"/>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Cost line</w:t>
            </w:r>
          </w:p>
        </w:tc>
        <w:tc>
          <w:tcPr>
            <w:tcW w:type="dxa" w:w="4896"/>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Phase 1 posture</w:t>
            </w:r>
          </w:p>
        </w:tc>
        <w:tc>
          <w:tcPr>
            <w:tcW w:type="dxa" w:w="2304"/>
            <w:shd w:fill="E8EEF1" w:color="auto" w:val="clear"/>
            <w:tcMar>
              <w:top w:type="dxa" w:w="80"/>
              <w:left w:type="dxa" w:w="110"/>
              <w:bottom w:type="dxa" w:w="80"/>
              <w:right w:type="dxa" w:w="110"/>
            </w:tcMar>
          </w:tcPr>
          <w:p>
            <w:pPr>
              <w:spacing w:after="0" w:line="260"/>
            </w:pPr>
            <w:r>
              <w:rPr>
                <w:b/>
                <w:bCs/>
                <w:i w:val="false"/>
                <w:iCs w:val="false"/>
                <w:color w:val="1A1A1A"/>
                <w:sz w:val="19"/>
                <w:szCs w:val="19"/>
              </w:rPr>
              <w:t xml:space="preserve">Scales with</w:t>
            </w:r>
          </w:p>
        </w:tc>
      </w:tr>
      <w:tr>
        <w:tc>
          <w:tcPr>
            <w:tcW w:type="dxa" w:w="2160"/>
            <w:tcMar>
              <w:top w:type="dxa" w:w="80"/>
              <w:left w:type="dxa" w:w="110"/>
              <w:bottom w:type="dxa" w:w="80"/>
              <w:right w:type="dxa" w:w="110"/>
            </w:tcMar>
          </w:tcPr>
          <w:p>
            <w:pPr>
              <w:spacing w:after="0" w:line="260"/>
            </w:pPr>
            <w:r>
              <w:rPr>
                <w:b/>
                <w:bCs/>
                <w:i w:val="false"/>
                <w:iCs w:val="false"/>
                <w:color w:val="1A1A1A"/>
                <w:sz w:val="19"/>
                <w:szCs w:val="19"/>
              </w:rPr>
              <w:t xml:space="preserve">Managed Postgres</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Free or entry tier (Neon / Supabase) is sufficient for a pilot catalogue.</w:t>
            </w:r>
          </w:p>
        </w:tc>
        <w:tc>
          <w:tcPr>
            <w:tcW w:type="dxa" w:w="2304"/>
            <w:tcMar>
              <w:top w:type="dxa" w:w="80"/>
              <w:left w:type="dxa" w:w="110"/>
              <w:bottom w:type="dxa" w:w="80"/>
              <w:right w:type="dxa" w:w="110"/>
            </w:tcMar>
          </w:tcPr>
          <w:p>
            <w:pPr>
              <w:spacing w:after="0" w:line="260"/>
            </w:pPr>
            <w:r>
              <w:rPr>
                <w:b w:val="false"/>
                <w:bCs w:val="false"/>
                <w:i w:val="false"/>
                <w:iCs w:val="false"/>
                <w:color w:val="1A1A1A"/>
                <w:sz w:val="19"/>
                <w:szCs w:val="19"/>
              </w:rPr>
              <w:t xml:space="preserve">Data volume and connection count</w:t>
            </w:r>
          </w:p>
        </w:tc>
      </w:tr>
      <w:tr>
        <w:tc>
          <w:tcPr>
            <w:tcW w:type="dxa" w:w="2160"/>
            <w:tcMar>
              <w:top w:type="dxa" w:w="80"/>
              <w:left w:type="dxa" w:w="110"/>
              <w:bottom w:type="dxa" w:w="80"/>
              <w:right w:type="dxa" w:w="110"/>
            </w:tcMar>
          </w:tcPr>
          <w:p>
            <w:pPr>
              <w:spacing w:after="0" w:line="260"/>
            </w:pPr>
            <w:r>
              <w:rPr>
                <w:b/>
                <w:bCs/>
                <w:i w:val="false"/>
                <w:iCs w:val="false"/>
                <w:color w:val="1A1A1A"/>
                <w:sz w:val="19"/>
                <w:szCs w:val="19"/>
              </w:rPr>
              <w:t xml:space="preserve">Container hosting</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Entry tier (Railway / Render). One API container plus one worker.</w:t>
            </w:r>
          </w:p>
        </w:tc>
        <w:tc>
          <w:tcPr>
            <w:tcW w:type="dxa" w:w="2304"/>
            <w:tcMar>
              <w:top w:type="dxa" w:w="80"/>
              <w:left w:type="dxa" w:w="110"/>
              <w:bottom w:type="dxa" w:w="80"/>
              <w:right w:type="dxa" w:w="110"/>
            </w:tcMar>
          </w:tcPr>
          <w:p>
            <w:pPr>
              <w:spacing w:after="0" w:line="260"/>
            </w:pPr>
            <w:r>
              <w:rPr>
                <w:b w:val="false"/>
                <w:bCs w:val="false"/>
                <w:i w:val="false"/>
                <w:iCs w:val="false"/>
                <w:color w:val="1A1A1A"/>
                <w:sz w:val="19"/>
                <w:szCs w:val="19"/>
              </w:rPr>
              <w:t xml:space="preserve">Traffic</w:t>
            </w:r>
          </w:p>
        </w:tc>
      </w:tr>
      <w:tr>
        <w:tc>
          <w:tcPr>
            <w:tcW w:type="dxa" w:w="2160"/>
            <w:tcMar>
              <w:top w:type="dxa" w:w="80"/>
              <w:left w:type="dxa" w:w="110"/>
              <w:bottom w:type="dxa" w:w="80"/>
              <w:right w:type="dxa" w:w="110"/>
            </w:tcMar>
          </w:tcPr>
          <w:p>
            <w:pPr>
              <w:spacing w:after="0" w:line="260"/>
            </w:pPr>
            <w:r>
              <w:rPr>
                <w:b/>
                <w:bCs/>
                <w:i w:val="false"/>
                <w:iCs w:val="false"/>
                <w:color w:val="1A1A1A"/>
                <w:sz w:val="19"/>
                <w:szCs w:val="19"/>
              </w:rPr>
              <w:t xml:space="preserve">Cloudflare R2 + CDN</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Generous free tier; zero egress is the reason this is cheap at image scale.</w:t>
            </w:r>
          </w:p>
        </w:tc>
        <w:tc>
          <w:tcPr>
            <w:tcW w:type="dxa" w:w="2304"/>
            <w:tcMar>
              <w:top w:type="dxa" w:w="80"/>
              <w:left w:type="dxa" w:w="110"/>
              <w:bottom w:type="dxa" w:w="80"/>
              <w:right w:type="dxa" w:w="110"/>
            </w:tcMar>
          </w:tcPr>
          <w:p>
            <w:pPr>
              <w:spacing w:after="0" w:line="260"/>
            </w:pPr>
            <w:r>
              <w:rPr>
                <w:b w:val="false"/>
                <w:bCs w:val="false"/>
                <w:i w:val="false"/>
                <w:iCs w:val="false"/>
                <w:color w:val="1A1A1A"/>
                <w:sz w:val="19"/>
                <w:szCs w:val="19"/>
              </w:rPr>
              <w:t xml:space="preserve">Storage volume</w:t>
            </w:r>
          </w:p>
        </w:tc>
      </w:tr>
      <w:tr>
        <w:tc>
          <w:tcPr>
            <w:tcW w:type="dxa" w:w="2160"/>
            <w:tcMar>
              <w:top w:type="dxa" w:w="80"/>
              <w:left w:type="dxa" w:w="110"/>
              <w:bottom w:type="dxa" w:w="80"/>
              <w:right w:type="dxa" w:w="110"/>
            </w:tcMar>
          </w:tcPr>
          <w:p>
            <w:pPr>
              <w:spacing w:after="0" w:line="260"/>
            </w:pPr>
            <w:r>
              <w:rPr>
                <w:b/>
                <w:bCs/>
                <w:i w:val="false"/>
                <w:iCs w:val="false"/>
                <w:color w:val="1A1A1A"/>
                <w:sz w:val="19"/>
                <w:szCs w:val="19"/>
              </w:rPr>
              <w:t xml:space="preserve">Typesense</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Small cloud tier, or self-hosted alongside the API to start.</w:t>
            </w:r>
          </w:p>
        </w:tc>
        <w:tc>
          <w:tcPr>
            <w:tcW w:type="dxa" w:w="2304"/>
            <w:tcMar>
              <w:top w:type="dxa" w:w="80"/>
              <w:left w:type="dxa" w:w="110"/>
              <w:bottom w:type="dxa" w:w="80"/>
              <w:right w:type="dxa" w:w="110"/>
            </w:tcMar>
          </w:tcPr>
          <w:p>
            <w:pPr>
              <w:spacing w:after="0" w:line="260"/>
            </w:pPr>
            <w:r>
              <w:rPr>
                <w:b w:val="false"/>
                <w:bCs w:val="false"/>
                <w:i w:val="false"/>
                <w:iCs w:val="false"/>
                <w:color w:val="1A1A1A"/>
                <w:sz w:val="19"/>
                <w:szCs w:val="19"/>
              </w:rPr>
              <w:t xml:space="preserve">Index size</w:t>
            </w:r>
          </w:p>
        </w:tc>
      </w:tr>
      <w:tr>
        <w:tc>
          <w:tcPr>
            <w:tcW w:type="dxa" w:w="2160"/>
            <w:tcMar>
              <w:top w:type="dxa" w:w="80"/>
              <w:left w:type="dxa" w:w="110"/>
              <w:bottom w:type="dxa" w:w="80"/>
              <w:right w:type="dxa" w:w="110"/>
            </w:tcMar>
          </w:tcPr>
          <w:p>
            <w:pPr>
              <w:spacing w:after="0" w:line="260"/>
            </w:pPr>
            <w:r>
              <w:rPr>
                <w:b/>
                <w:bCs/>
                <w:i w:val="false"/>
                <w:iCs w:val="false"/>
                <w:color w:val="1A1A1A"/>
                <w:sz w:val="19"/>
                <w:szCs w:val="19"/>
              </w:rPr>
              <w:t xml:space="preserve">Redis</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Entry tier or bundled with the host.</w:t>
            </w:r>
          </w:p>
        </w:tc>
        <w:tc>
          <w:tcPr>
            <w:tcW w:type="dxa" w:w="2304"/>
            <w:tcMar>
              <w:top w:type="dxa" w:w="80"/>
              <w:left w:type="dxa" w:w="110"/>
              <w:bottom w:type="dxa" w:w="80"/>
              <w:right w:type="dxa" w:w="110"/>
            </w:tcMar>
          </w:tcPr>
          <w:p>
            <w:pPr>
              <w:spacing w:after="0" w:line="260"/>
            </w:pPr>
            <w:r>
              <w:rPr>
                <w:b w:val="false"/>
                <w:bCs w:val="false"/>
                <w:i w:val="false"/>
                <w:iCs w:val="false"/>
                <w:color w:val="1A1A1A"/>
                <w:sz w:val="19"/>
                <w:szCs w:val="19"/>
              </w:rPr>
              <w:t xml:space="preserve">Job volume</w:t>
            </w:r>
          </w:p>
        </w:tc>
      </w:tr>
      <w:tr>
        <w:tc>
          <w:tcPr>
            <w:tcW w:type="dxa" w:w="2160"/>
            <w:tcMar>
              <w:top w:type="dxa" w:w="80"/>
              <w:left w:type="dxa" w:w="110"/>
              <w:bottom w:type="dxa" w:w="80"/>
              <w:right w:type="dxa" w:w="110"/>
            </w:tcMar>
          </w:tcPr>
          <w:p>
            <w:pPr>
              <w:spacing w:after="0" w:line="260"/>
            </w:pPr>
            <w:r>
              <w:rPr>
                <w:b/>
                <w:bCs/>
                <w:i w:val="false"/>
                <w:iCs w:val="false"/>
                <w:color w:val="1A1A1A"/>
                <w:sz w:val="19"/>
                <w:szCs w:val="19"/>
              </w:rPr>
              <w:t xml:space="preserve">WhatsApp BSP</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Per-conversation pricing. The first real per-usage cost.</w:t>
            </w:r>
          </w:p>
        </w:tc>
        <w:tc>
          <w:tcPr>
            <w:tcW w:type="dxa" w:w="2304"/>
            <w:tcMar>
              <w:top w:type="dxa" w:w="80"/>
              <w:left w:type="dxa" w:w="110"/>
              <w:bottom w:type="dxa" w:w="80"/>
              <w:right w:type="dxa" w:w="110"/>
            </w:tcMar>
          </w:tcPr>
          <w:p>
            <w:pPr>
              <w:spacing w:after="0" w:line="260"/>
            </w:pPr>
            <w:r>
              <w:rPr>
                <w:b w:val="false"/>
                <w:bCs w:val="false"/>
                <w:i w:val="false"/>
                <w:iCs w:val="false"/>
                <w:color w:val="1A1A1A"/>
                <w:sz w:val="19"/>
                <w:szCs w:val="19"/>
              </w:rPr>
              <w:t xml:space="preserve">Active users and notification volume</w:t>
            </w:r>
          </w:p>
        </w:tc>
      </w:tr>
      <w:tr>
        <w:tc>
          <w:tcPr>
            <w:tcW w:type="dxa" w:w="2160"/>
            <w:tcMar>
              <w:top w:type="dxa" w:w="80"/>
              <w:left w:type="dxa" w:w="110"/>
              <w:bottom w:type="dxa" w:w="80"/>
              <w:right w:type="dxa" w:w="110"/>
            </w:tcMar>
          </w:tcPr>
          <w:p>
            <w:pPr>
              <w:spacing w:after="0" w:line="260"/>
            </w:pPr>
            <w:r>
              <w:rPr>
                <w:b/>
                <w:bCs/>
                <w:i w:val="false"/>
                <w:iCs w:val="false"/>
                <w:color w:val="1A1A1A"/>
                <w:sz w:val="19"/>
                <w:szCs w:val="19"/>
              </w:rPr>
              <w:t xml:space="preserve">KYC provider</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Per-check fee. Only incurred at L2 and L4 escalation.</w:t>
            </w:r>
          </w:p>
        </w:tc>
        <w:tc>
          <w:tcPr>
            <w:tcW w:type="dxa" w:w="2304"/>
            <w:tcMar>
              <w:top w:type="dxa" w:w="80"/>
              <w:left w:type="dxa" w:w="110"/>
              <w:bottom w:type="dxa" w:w="80"/>
              <w:right w:type="dxa" w:w="110"/>
            </w:tcMar>
          </w:tcPr>
          <w:p>
            <w:pPr>
              <w:spacing w:after="0" w:line="260"/>
            </w:pPr>
            <w:r>
              <w:rPr>
                <w:b w:val="false"/>
                <w:bCs w:val="false"/>
                <w:i w:val="false"/>
                <w:iCs w:val="false"/>
                <w:color w:val="1A1A1A"/>
                <w:sz w:val="19"/>
                <w:szCs w:val="19"/>
              </w:rPr>
              <w:t xml:space="preserve">Verified users</w:t>
            </w:r>
          </w:p>
        </w:tc>
      </w:tr>
      <w:tr>
        <w:tc>
          <w:tcPr>
            <w:tcW w:type="dxa" w:w="2160"/>
            <w:tcMar>
              <w:top w:type="dxa" w:w="80"/>
              <w:left w:type="dxa" w:w="110"/>
              <w:bottom w:type="dxa" w:w="80"/>
              <w:right w:type="dxa" w:w="110"/>
            </w:tcMar>
          </w:tcPr>
          <w:p>
            <w:pPr>
              <w:spacing w:after="0" w:line="260"/>
            </w:pPr>
            <w:r>
              <w:rPr>
                <w:b/>
                <w:bCs/>
                <w:i w:val="false"/>
                <w:iCs w:val="false"/>
                <w:color w:val="1A1A1A"/>
                <w:sz w:val="19"/>
                <w:szCs w:val="19"/>
              </w:rPr>
              <w:t xml:space="preserve">Paystack</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Per-transaction percentage. Only on paid verifications and inspections.</w:t>
            </w:r>
          </w:p>
        </w:tc>
        <w:tc>
          <w:tcPr>
            <w:tcW w:type="dxa" w:w="2304"/>
            <w:tcMar>
              <w:top w:type="dxa" w:w="80"/>
              <w:left w:type="dxa" w:w="110"/>
              <w:bottom w:type="dxa" w:w="80"/>
              <w:right w:type="dxa" w:w="110"/>
            </w:tcMar>
          </w:tcPr>
          <w:p>
            <w:pPr>
              <w:spacing w:after="0" w:line="260"/>
            </w:pPr>
            <w:r>
              <w:rPr>
                <w:b w:val="false"/>
                <w:bCs w:val="false"/>
                <w:i w:val="false"/>
                <w:iCs w:val="false"/>
                <w:color w:val="1A1A1A"/>
                <w:sz w:val="19"/>
                <w:szCs w:val="19"/>
              </w:rPr>
              <w:t xml:space="preserve">Revenue</w:t>
            </w:r>
          </w:p>
        </w:tc>
      </w:tr>
      <w:tr>
        <w:tc>
          <w:tcPr>
            <w:tcW w:type="dxa" w:w="2160"/>
            <w:tcMar>
              <w:top w:type="dxa" w:w="80"/>
              <w:left w:type="dxa" w:w="110"/>
              <w:bottom w:type="dxa" w:w="80"/>
              <w:right w:type="dxa" w:w="110"/>
            </w:tcMar>
          </w:tcPr>
          <w:p>
            <w:pPr>
              <w:spacing w:after="0" w:line="260"/>
            </w:pPr>
            <w:r>
              <w:rPr>
                <w:b/>
                <w:bCs/>
                <w:i w:val="false"/>
                <w:iCs w:val="false"/>
                <w:color w:val="1A1A1A"/>
                <w:sz w:val="19"/>
                <w:szCs w:val="19"/>
              </w:rPr>
              <w:t xml:space="preserve">Verification (human)</w:t>
            </w:r>
          </w:p>
        </w:tc>
        <w:tc>
          <w:tcPr>
            <w:tcW w:type="dxa" w:w="4896"/>
            <w:tcMar>
              <w:top w:type="dxa" w:w="80"/>
              <w:left w:type="dxa" w:w="110"/>
              <w:bottom w:type="dxa" w:w="80"/>
              <w:right w:type="dxa" w:w="110"/>
            </w:tcMar>
          </w:tcPr>
          <w:p>
            <w:pPr>
              <w:spacing w:after="0" w:line="260"/>
            </w:pPr>
            <w:r>
              <w:rPr>
                <w:b w:val="false"/>
                <w:bCs w:val="false"/>
                <w:i w:val="false"/>
                <w:iCs w:val="false"/>
                <w:color w:val="1A1A1A"/>
                <w:sz w:val="19"/>
                <w:szCs w:val="19"/>
              </w:rPr>
              <w:t xml:space="preserve">Solicitor and surveyor time. The dominant real cost, and the one that is not software.</w:t>
            </w:r>
          </w:p>
        </w:tc>
        <w:tc>
          <w:tcPr>
            <w:tcW w:type="dxa" w:w="2304"/>
            <w:tcMar>
              <w:top w:type="dxa" w:w="80"/>
              <w:left w:type="dxa" w:w="110"/>
              <w:bottom w:type="dxa" w:w="80"/>
              <w:right w:type="dxa" w:w="110"/>
            </w:tcMar>
          </w:tcPr>
          <w:p>
            <w:pPr>
              <w:spacing w:after="0" w:line="260"/>
            </w:pPr>
            <w:r>
              <w:rPr>
                <w:b w:val="false"/>
                <w:bCs w:val="false"/>
                <w:i w:val="false"/>
                <w:iCs w:val="false"/>
                <w:color w:val="1A1A1A"/>
                <w:sz w:val="19"/>
                <w:szCs w:val="19"/>
              </w:rPr>
              <w:t xml:space="preserve">Verifications performed</w:t>
            </w:r>
          </w:p>
        </w:tc>
      </w:tr>
    </w:tbl>
    <w:p>
      <w:pPr>
        <w:spacing w:after="160"/>
      </w:pPr>
      <w:r>
        <w:rPr>
          <w:sz w:val="2"/>
          <w:szCs w:val="2"/>
        </w:rPr>
        <w:t xml:space="preserve"/>
      </w:r>
    </w:p>
    <w:p>
      <w:pPr>
        <w:spacing w:after="140" w:line="280"/>
      </w:pPr>
      <w:r>
        <w:rPr>
          <w:b/>
          <w:bCs/>
          <w:i w:val="false"/>
          <w:iCs w:val="false"/>
          <w:color w:val="1A1A1A"/>
          <w:sz w:val="21"/>
          <w:szCs w:val="21"/>
        </w:rPr>
        <w:t xml:space="preserve">The honest observation: </w:t>
      </w:r>
      <w:r>
        <w:rPr>
          <w:b w:val="false"/>
          <w:bCs w:val="false"/>
          <w:i w:val="false"/>
          <w:iCs w:val="false"/>
          <w:color w:val="1A1A1A"/>
          <w:sz w:val="21"/>
          <w:szCs w:val="21"/>
        </w:rPr>
        <w:t xml:space="preserve">infrastructure is not the constraint. A Phase 1 pilot with fifty to a hundred verified listings can run on entry tiers across the board for a modest monthly figure. The real cost of this business is human verification capacity — solicitor and surveyor time — which is precisely why the unit economics question for the anchor firm matters more than any hosting decision in this document.</w:t>
      </w:r>
    </w:p>
    <w:p>
      <w:pPr>
        <w:pStyle w:val="Heading1"/>
        <w:spacing w:after="160" w:before="360"/>
      </w:pPr>
      <w:r>
        <w:rPr>
          <w:b/>
          <w:bCs/>
          <w:i w:val="false"/>
          <w:iCs w:val="false"/>
          <w:color w:val="1F4E5F"/>
          <w:sz w:val="30"/>
          <w:szCs w:val="30"/>
        </w:rPr>
        <w:t xml:space="preserve">Working with AI assistance</w:t>
      </w:r>
    </w:p>
    <w:p>
      <w:pPr>
        <w:spacing w:after="140" w:line="280"/>
      </w:pPr>
      <w:r>
        <w:rPr>
          <w:b w:val="false"/>
          <w:bCs w:val="false"/>
          <w:i w:val="false"/>
          <w:iCs w:val="false"/>
          <w:color w:val="1A1A1A"/>
          <w:sz w:val="21"/>
          <w:szCs w:val="21"/>
        </w:rPr>
        <w:t xml:space="preserve">Phase 1 is built with AI assistance by a non-technical founder. That is workable within limits, and the limits are worth stating explicitly for the benefit of whoever inherits this codebase.</w:t>
      </w:r>
    </w:p>
    <w:p>
      <w:pPr>
        <w:pStyle w:val="ListParagraph"/>
        <w:numPr>
          <w:ilvl w:val="0"/>
          <w:numId w:val="3"/>
        </w:numPr>
        <w:spacing w:after="90" w:line="280"/>
      </w:pPr>
      <w:r>
        <w:rPr>
          <w:b/>
          <w:bCs/>
          <w:i w:val="false"/>
          <w:iCs w:val="false"/>
          <w:color w:val="1A1A1A"/>
          <w:sz w:val="21"/>
          <w:szCs w:val="21"/>
        </w:rPr>
        <w:t xml:space="preserve">Brief against the real docs. </w:t>
      </w:r>
      <w:r>
        <w:rPr>
          <w:b w:val="false"/>
          <w:bCs w:val="false"/>
          <w:i w:val="false"/>
          <w:iCs w:val="false"/>
          <w:color w:val="1A1A1A"/>
          <w:sz w:val="21"/>
          <w:szCs w:val="21"/>
        </w:rPr>
        <w:t xml:space="preserve">Point the tooling at this spec, the Product Feature Spec, and the Onboarding &amp; Milestones flow, so it builds against the actual design rather than a generic property-app template.</w:t>
      </w:r>
    </w:p>
    <w:p>
      <w:pPr>
        <w:pStyle w:val="ListParagraph"/>
        <w:numPr>
          <w:ilvl w:val="0"/>
          <w:numId w:val="3"/>
        </w:numPr>
        <w:spacing w:after="90" w:line="280"/>
      </w:pPr>
      <w:r>
        <w:rPr>
          <w:b/>
          <w:bCs/>
          <w:i w:val="false"/>
          <w:iCs w:val="false"/>
          <w:color w:val="1A1A1A"/>
          <w:sz w:val="21"/>
          <w:szCs w:val="21"/>
        </w:rPr>
        <w:t xml:space="preserve">One module at a time, verified before moving on. </w:t>
      </w:r>
      <w:r>
        <w:rPr>
          <w:b w:val="false"/>
          <w:bCs w:val="false"/>
          <w:i w:val="false"/>
          <w:iCs w:val="false"/>
          <w:color w:val="1A1A1A"/>
          <w:sz w:val="21"/>
          <w:szCs w:val="21"/>
        </w:rPr>
        <w:t xml:space="preserve">The build order exists to prevent a half-finished spine with eight half-finished features hanging off it.</w:t>
      </w:r>
    </w:p>
    <w:p>
      <w:pPr>
        <w:pStyle w:val="ListParagraph"/>
        <w:numPr>
          <w:ilvl w:val="0"/>
          <w:numId w:val="3"/>
        </w:numPr>
        <w:spacing w:after="90" w:line="280"/>
      </w:pPr>
      <w:r>
        <w:rPr>
          <w:b/>
          <w:bCs/>
          <w:i w:val="false"/>
          <w:iCs w:val="false"/>
          <w:color w:val="1A1A1A"/>
          <w:sz w:val="21"/>
          <w:szCs w:val="21"/>
        </w:rPr>
        <w:t xml:space="preserve">Prove it runs. </w:t>
      </w:r>
      <w:r>
        <w:rPr>
          <w:b w:val="false"/>
          <w:bCs w:val="false"/>
          <w:i w:val="false"/>
          <w:iCs w:val="false"/>
          <w:color w:val="1A1A1A"/>
          <w:sz w:val="21"/>
          <w:szCs w:val="21"/>
        </w:rPr>
        <w:t xml:space="preserve">Hit the endpoints, render the screen, show the result. Asserting that something works is not the same as demonstrating it.</w:t>
      </w:r>
    </w:p>
    <w:p>
      <w:pPr>
        <w:pStyle w:val="ListParagraph"/>
        <w:numPr>
          <w:ilvl w:val="0"/>
          <w:numId w:val="3"/>
        </w:numPr>
        <w:spacing w:after="90" w:line="280"/>
      </w:pPr>
      <w:r>
        <w:rPr>
          <w:b/>
          <w:bCs/>
          <w:i w:val="false"/>
          <w:iCs w:val="false"/>
          <w:color w:val="1A1A1A"/>
          <w:sz w:val="21"/>
          <w:szCs w:val="21"/>
        </w:rPr>
        <w:t xml:space="preserve">Commit after each working step. </w:t>
      </w:r>
      <w:r>
        <w:rPr>
          <w:b w:val="false"/>
          <w:bCs w:val="false"/>
          <w:i w:val="false"/>
          <w:iCs w:val="false"/>
          <w:color w:val="1A1A1A"/>
          <w:sz w:val="21"/>
          <w:szCs w:val="21"/>
        </w:rPr>
        <w:t xml:space="preserve">Clear messages. The commit history is the only record of how the system was assembled.</w:t>
      </w:r>
    </w:p>
    <w:p>
      <w:pPr>
        <w:pStyle w:val="ListParagraph"/>
        <w:numPr>
          <w:ilvl w:val="0"/>
          <w:numId w:val="3"/>
        </w:numPr>
        <w:spacing w:after="90" w:line="280"/>
      </w:pPr>
      <w:r>
        <w:rPr>
          <w:b/>
          <w:bCs/>
          <w:i w:val="false"/>
          <w:iCs w:val="false"/>
          <w:color w:val="1A1A1A"/>
          <w:sz w:val="21"/>
          <w:szCs w:val="21"/>
        </w:rPr>
        <w:t xml:space="preserve">Integrate partners at the moment of need. </w:t>
      </w:r>
      <w:r>
        <w:rPr>
          <w:b w:val="false"/>
          <w:bCs w:val="false"/>
          <w:i w:val="false"/>
          <w:iCs w:val="false"/>
          <w:color w:val="1A1A1A"/>
          <w:sz w:val="21"/>
          <w:szCs w:val="21"/>
        </w:rPr>
        <w:t xml:space="preserve">Paystack, WhatsApp, KYC, and Cloudflare each require a real signup and real credentials. Do them when the module needs them, not in advance.</w:t>
      </w:r>
    </w:p>
    <w:p>
      <w:pPr>
        <w:spacing w:after="140" w:line="280"/>
      </w:pPr>
      <w:r>
        <w:rPr>
          <w:b w:val="false"/>
          <w:bCs w:val="false"/>
          <w:i w:val="false"/>
          <w:iCs w:val="false"/>
          <w:color w:val="1A1A1A"/>
          <w:sz w:val="21"/>
          <w:szCs w:val="21"/>
        </w:rPr>
        <w:t xml:space="preserve">What this produces is a working, demonstrable Trust MVP — and an honest starting point for an experienced engineer, who should expect to review rather than inherit blindly. Phase 1’s job is to prove the model and recruit that person, not to be the final architecture.</w:t>
      </w:r>
    </w:p>
    <w:p>
      <w:pPr>
        <w:pBdr>
          <w:bottom w:val="single" w:color="CCCCCC" w:sz="6" w:space="6"/>
        </w:pBdr>
        <w:spacing w:after="120" w:before="120"/>
      </w:pPr>
      <w:r>
        <w:rPr>
          <w:sz w:val="2"/>
          <w:szCs w:val="2"/>
        </w:rPr>
        <w:t xml:space="preserve"/>
      </w:r>
    </w:p>
    <w:p>
      <w:pPr>
        <w:pStyle w:val="Heading2"/>
        <w:spacing w:after="120" w:before="260"/>
      </w:pPr>
      <w:r>
        <w:rPr>
          <w:b/>
          <w:bCs/>
          <w:i w:val="false"/>
          <w:iCs w:val="false"/>
          <w:color w:val="1F4E5F"/>
          <w:sz w:val="24"/>
          <w:szCs w:val="24"/>
        </w:rPr>
        <w:t xml:space="preserve">Changelog</w:t>
      </w:r>
    </w:p>
    <w:p>
      <w:pPr>
        <w:spacing w:after="140" w:line="280"/>
      </w:pPr>
      <w:r>
        <w:rPr>
          <w:b/>
          <w:bCs/>
          <w:i w:val="false"/>
          <w:iCs w:val="false"/>
          <w:color w:val="1A1A1A"/>
          <w:sz w:val="21"/>
          <w:szCs w:val="21"/>
        </w:rPr>
        <w:t xml:space="preserve">v1</w:t>
      </w:r>
      <w:r>
        <w:rPr>
          <w:b w:val="false"/>
          <w:bCs w:val="false"/>
          <w:i w:val="false"/>
          <w:iCs w:val="false"/>
          <w:color w:val="1A1A1A"/>
          <w:sz w:val="21"/>
          <w:szCs w:val="21"/>
        </w:rPr>
        <w:t xml:space="preserve"> — Locked-stack rationale, monolith architecture, five spec-forced technical requirements, adapter interface boundaries, Phase 1 data model sketch, build sequence with the security line, security posture, and lean-launch cost posture.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8A8A8A"/>
        <w:sz w:val="16"/>
        <w:szCs w:val="16"/>
      </w:rPr>
      <w:t xml:space="preserve">Un</w:t>
    </w:r>
    <w:r>
      <w:rPr>
        <w:b w:val="false"/>
        <w:bCs w:val="false"/>
        <w:i w:val="false"/>
        <w:iCs w:val="false"/>
        <w:color w:val="8A8A8A"/>
        <w:sz w:val="16"/>
        <w:szCs w:val="16"/>
      </w:rPr>
      <w:t xml:space="preserve">o</w:t>
    </w:r>
    <w:r>
      <w:rPr>
        <w:b w:val="false"/>
        <w:bCs w:val="false"/>
        <w:i w:val="false"/>
        <w:iCs w:val="false"/>
        <w:color w:val="C8102E"/>
        <w:sz w:val="16"/>
        <w:szCs w:val="16"/>
      </w:rPr>
      <w:t xml:space="preserve">̈</w:t>
    </w:r>
    <w:r>
      <w:rPr>
        <w:color w:val="8A8A8A"/>
        <w:sz w:val="16"/>
        <w:szCs w:val="16"/>
      </w:rPr>
      <w:t xml:space="preserve"> — Technical Specification  ·  Confidential  ·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Unö — Technical Specification</dc:title>
  <dc:creator>Unö</dc:creator>
  <dc:description>Architecture, data model, adapter boundaries, and cost posture</dc:description>
  <cp:lastModifiedBy>Un-named</cp:lastModifiedBy>
  <cp:revision>1</cp:revision>
  <dcterms:created xsi:type="dcterms:W3CDTF">2026-07-22T03:02:49.393Z</dcterms:created>
  <dcterms:modified xsi:type="dcterms:W3CDTF">2026-07-22T03:02:49.393Z</dcterms:modified>
</cp:coreProperties>
</file>

<file path=docProps/custom.xml><?xml version="1.0" encoding="utf-8"?>
<Properties xmlns="http://schemas.openxmlformats.org/officeDocument/2006/custom-properties" xmlns:vt="http://schemas.openxmlformats.org/officeDocument/2006/docPropsVTypes"/>
</file>