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gridSpan w:val="1"/>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vAlign w:val="center"/>
          </w:tcPr>
          <w:p>
            <w:pPr>
              <w:spacing w:after="20" w:before="320"/>
              <w:jc w:val="center"/>
            </w:pPr>
            <w:r>
              <w:rPr>
                <w:rFonts w:ascii="Arial" w:cs="Arial" w:eastAsia="Arial" w:hAnsi="Arial"/>
                <w:b/>
                <w:bCs/>
                <w:color w:val="FFFFFF"/>
                <w:sz w:val="48"/>
                <w:szCs w:val="48"/>
              </w:rPr>
              <w:t xml:space="preserve">PLAN OF ACTION AND MILESTONES (POA&amp;M)</w:t>
            </w:r>
          </w:p>
          <w:p>
            <w:pPr>
              <w:spacing w:after="320" w:before="320"/>
              <w:jc w:val="center"/>
            </w:pPr>
            <w:r>
              <w:rPr>
                <w:rFonts w:ascii="Arial" w:cs="Arial" w:eastAsia="Arial" w:hAnsi="Arial"/>
                <w:b/>
                <w:bCs/>
                <w:color w:val="FFFFFF"/>
                <w:sz w:val="48"/>
                <w:szCs w:val="48"/>
              </w:rPr>
              <w:t xml:space="preserve">MASTER TRACKER</w:t>
            </w:r>
          </w:p>
        </w:tc>
      </w:tr>
      <w:tr>
        <w:tc>
          <w:tcPr>
            <w:tcW w:type="dxa" w:w="13680"/>
            <w:gridSpan w:val="1"/>
            <w:tcBorders>
              <w:top w:val="none" w:color="FFFFFF" w:sz="0"/>
              <w:left w:val="none" w:color="FFFFFF" w:sz="0"/>
              <w:bottom w:val="none" w:color="FFFFFF" w:sz="0"/>
              <w:right w:val="none" w:color="FFFFFF" w:sz="0"/>
            </w:tcBorders>
            <w:shd w:fill="2E5496" w:val="clear"/>
            <w:tcMar>
              <w:top w:type="dxa" w:w="100"/>
              <w:left w:type="dxa" w:w="160"/>
              <w:bottom w:type="dxa" w:w="100"/>
              <w:right w:type="dxa" w:w="160"/>
            </w:tcMar>
            <w:vAlign w:val="center"/>
          </w:tcPr>
          <w:p>
            <w:pPr>
              <w:spacing w:after="200" w:before="200"/>
              <w:jc w:val="center"/>
            </w:pPr>
            <w:r>
              <w:rPr>
                <w:rFonts w:ascii="Arial" w:cs="Arial" w:eastAsia="Arial" w:hAnsi="Arial"/>
                <w:b/>
                <w:bCs/>
                <w:color w:val="FFD966"/>
                <w:sz w:val="32"/>
                <w:szCs w:val="32"/>
              </w:rPr>
              <w:t xml:space="preserve">CloudVault Federal Health Exchange (FHX)</w:t>
            </w:r>
          </w:p>
        </w:tc>
      </w:tr>
      <w:tr>
        <w:tc>
          <w:tcPr>
            <w:tcW w:type="dxa" w:w="13680"/>
            <w:gridSpan w:val="1"/>
            <w:tcBorders>
              <w:top w:val="none" w:color="FFFFFF" w:sz="0"/>
              <w:left w:val="none" w:color="FFFFFF" w:sz="0"/>
              <w:bottom w:val="none" w:color="FFFFFF" w:sz="0"/>
              <w:right w:val="none" w:color="FFFFFF" w:sz="0"/>
            </w:tcBorders>
            <w:shd w:fill="2E5496" w:val="clear"/>
            <w:tcMar>
              <w:top w:type="dxa" w:w="100"/>
              <w:left w:type="dxa" w:w="160"/>
              <w:bottom w:type="dxa" w:w="100"/>
              <w:right w:type="dxa" w:w="160"/>
            </w:tcMar>
            <w:vAlign w:val="center"/>
          </w:tcPr>
          <w:p>
            <w:pPr>
              <w:spacing w:after="120" w:before="120"/>
              <w:jc w:val="center"/>
            </w:pPr>
            <w:r>
              <w:rPr>
                <w:rFonts w:ascii="Arial" w:cs="Arial" w:eastAsia="Arial" w:hAnsi="Arial"/>
                <w:b w:val="false"/>
                <w:bCs w:val="false"/>
                <w:color w:val="FFFFFF"/>
                <w:sz w:val="19"/>
                <w:szCs w:val="19"/>
              </w:rPr>
              <w:t xml:space="preserve">Document ID: CV-FHX-POAM-001  |  Version: 2.1  |  Classification: UNCLASSIFIED // FOR OFFICIAL USE ONLY (FOUO)</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10260"/>
      </w:tblGrid>
      <w:tr>
        <w:tc>
          <w:tcPr>
            <w:tcW w:type="dxa" w:w="342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Field</w:t>
            </w:r>
          </w:p>
        </w:tc>
        <w:tc>
          <w:tcPr>
            <w:tcW w:type="dxa" w:w="1026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left"/>
            </w:pPr>
            <w:r>
              <w:rPr>
                <w:rFonts w:ascii="Arial" w:cs="Arial" w:eastAsia="Arial" w:hAnsi="Arial"/>
                <w:b/>
                <w:bCs/>
                <w:color w:val="FFFFFF"/>
                <w:sz w:val="20"/>
                <w:szCs w:val="20"/>
              </w:rPr>
              <w:t xml:space="preserve">Detail</w:t>
            </w:r>
          </w:p>
        </w:tc>
      </w:tr>
      <w:tr>
        <w:tc>
          <w:tcPr>
            <w:tcW w:type="dxa" w:w="342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Prepared By:</w:t>
            </w:r>
          </w:p>
        </w:tc>
        <w:tc>
          <w:tcPr>
            <w:tcW w:type="dxa" w:w="102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Enechi P.C. Njeze — Information System Security Officer (ISSO) and Information System Security Manager (ISSM)</w:t>
            </w:r>
          </w:p>
        </w:tc>
      </w:tr>
      <w:tr>
        <w:tc>
          <w:tcPr>
            <w:tcW w:type="dxa" w:w="342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Certifications:</w:t>
            </w:r>
          </w:p>
        </w:tc>
        <w:tc>
          <w:tcPr>
            <w:tcW w:type="dxa" w:w="102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CGRC, CISA, CISM, PMP, PMI-RMP, CompTIA Security+ SY0-701, CHP, CSCS, CISSP (in progress)</w:t>
            </w:r>
          </w:p>
        </w:tc>
      </w:tr>
      <w:tr>
        <w:tc>
          <w:tcPr>
            <w:tcW w:type="dxa" w:w="342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Reviewed By:</w:t>
            </w:r>
          </w:p>
        </w:tc>
        <w:tc>
          <w:tcPr>
            <w:tcW w:type="dxa" w:w="102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Henry Kline, Deputy Director and Authorizing Official (AO)</w:t>
            </w:r>
          </w:p>
        </w:tc>
      </w:tr>
      <w:tr>
        <w:tc>
          <w:tcPr>
            <w:tcW w:type="dxa" w:w="342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SAISO:</w:t>
            </w:r>
          </w:p>
        </w:tc>
        <w:tc>
          <w:tcPr>
            <w:tcW w:type="dxa" w:w="102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Marcus T. Brennan, Senior Agency Information Security Officer</w:t>
            </w:r>
          </w:p>
        </w:tc>
      </w:tr>
      <w:tr>
        <w:tc>
          <w:tcPr>
            <w:tcW w:type="dxa" w:w="342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Organization:</w:t>
            </w:r>
          </w:p>
        </w:tc>
        <w:tc>
          <w:tcPr>
            <w:tcW w:type="dxa" w:w="102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Federal Health Data Office (FHDO), CloudVault FHX Program</w:t>
            </w:r>
          </w:p>
        </w:tc>
      </w:tr>
      <w:tr>
        <w:tc>
          <w:tcPr>
            <w:tcW w:type="dxa" w:w="342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Reporting Period:</w:t>
            </w:r>
          </w:p>
        </w:tc>
        <w:tc>
          <w:tcPr>
            <w:tcW w:type="dxa" w:w="102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March 1, 2026 through March 31, 2026</w:t>
            </w:r>
          </w:p>
        </w:tc>
      </w:tr>
      <w:tr>
        <w:tc>
          <w:tcPr>
            <w:tcW w:type="dxa" w:w="342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Next Submission:</w:t>
            </w:r>
          </w:p>
        </w:tc>
        <w:tc>
          <w:tcPr>
            <w:tcW w:type="dxa" w:w="102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April 30, 2026</w:t>
            </w:r>
          </w:p>
        </w:tc>
      </w:tr>
      <w:tr>
        <w:tc>
          <w:tcPr>
            <w:tcW w:type="dxa" w:w="342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Document Status:</w:t>
            </w:r>
          </w:p>
        </w:tc>
        <w:tc>
          <w:tcPr>
            <w:tcW w:type="dxa" w:w="102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ACTIVE</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gridSpan w:val="1"/>
            <w:tcBorders>
              <w:top w:val="none" w:color="FFFFFF" w:sz="0"/>
              <w:left w:val="none" w:color="FFFFFF" w:sz="0"/>
              <w:bottom w:val="none" w:color="FFFFFF" w:sz="0"/>
              <w:right w:val="none" w:color="FFFFFF" w:sz="0"/>
            </w:tcBorders>
            <w:shd w:fill="2E5496"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Related Documents</w:t>
            </w:r>
          </w:p>
        </w:tc>
      </w:tr>
      <w:tr>
        <w:tc>
          <w:tcPr>
            <w:tcW w:type="dxa" w:w="136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System Security Plan: ../docs/system-security-plan.md</w:t>
            </w:r>
          </w:p>
        </w:tc>
      </w:tr>
      <w:tr>
        <w:tc>
          <w:tcPr>
            <w:tcW w:type="dxa" w:w="136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FIPS 199 Security Categorization: ../assessments/fips199-security-categorization.md</w:t>
            </w:r>
          </w:p>
        </w:tc>
      </w:tr>
      <w:tr>
        <w:tc>
          <w:tcPr>
            <w:tcW w:type="dxa" w:w="136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Security Assessment Plan: ../assessments/security-assessment-plan.md</w:t>
            </w:r>
          </w:p>
        </w:tc>
      </w:tr>
      <w:tr>
        <w:tc>
          <w:tcPr>
            <w:tcW w:type="dxa" w:w="136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Continuous Monitoring Strategy: ../conmon/README.md</w:t>
            </w:r>
          </w:p>
        </w:tc>
      </w:tr>
      <w:tr>
        <w:tc>
          <w:tcPr>
            <w:tcW w:type="dxa" w:w="136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Authorization Package: ../authorization/README.md</w:t>
            </w:r>
          </w:p>
        </w:tc>
      </w:tr>
    </w:tbl>
    <w:p>
      <w:r>
        <w:br/>
      </w:r>
    </w:p>
    <w:p>
      <w:pPr>
        <w:pStyle w:val="Heading1"/>
        <w:spacing w:after="140" w:before="280"/>
      </w:pPr>
      <w:r>
        <w:rPr>
          <w:rFonts w:ascii="Arial" w:cs="Arial" w:eastAsia="Arial" w:hAnsi="Arial"/>
          <w:b/>
          <w:bCs/>
          <w:color w:val="1F3864"/>
          <w:sz w:val="32"/>
          <w:szCs w:val="32"/>
        </w:rPr>
        <w:t xml:space="preserve">1. Purpose and Scope</w:t>
      </w:r>
    </w:p>
    <w:p>
      <w:pPr>
        <w:pStyle w:val="Heading2"/>
        <w:spacing w:after="100" w:before="200"/>
      </w:pPr>
      <w:r>
        <w:rPr>
          <w:rFonts w:ascii="Arial" w:cs="Arial" w:eastAsia="Arial" w:hAnsi="Arial"/>
          <w:b/>
          <w:bCs/>
          <w:color w:val="2E5496"/>
          <w:sz w:val="26"/>
          <w:szCs w:val="26"/>
        </w:rPr>
        <w:t xml:space="preserve">1.1 Purpose</w:t>
      </w:r>
    </w:p>
    <w:p>
      <w:pPr>
        <w:spacing w:after="60" w:before="60"/>
        <w:jc w:val="left"/>
      </w:pPr>
      <w:r>
        <w:rPr>
          <w:rFonts w:ascii="Arial" w:cs="Arial" w:eastAsia="Arial" w:hAnsi="Arial"/>
          <w:b w:val="false"/>
          <w:bCs w:val="false"/>
          <w:color w:val="000000"/>
          <w:sz w:val="20"/>
          <w:szCs w:val="20"/>
        </w:rPr>
        <w:t xml:space="preserve">This Plan of Action and Milestones (POA&amp;M) Master Tracker documents all known security weaknesses, deficiencies, and control gaps identified in the CloudVault Federal Health Exchange (FHX) through security assessments, continuous monitoring activities, vulnerability scanning, penetration testing, and self-identified internal reviews. It establishes the corrective action milestones, responsible parties, and target completion dates required to address each weakness.</w:t>
      </w:r>
    </w:p>
    <w:p>
      <w:pPr>
        <w:spacing w:after="0" w:before="0"/>
        <w:jc w:val="left"/>
      </w:pPr>
      <w:r>
        <w:rPr>
          <w:rFonts w:ascii="Arial" w:cs="Arial" w:eastAsia="Arial" w:hAnsi="Arial"/>
          <w:b w:val="false"/>
          <w:bCs w:val="false"/>
          <w:color w:val="000000"/>
          <w:sz w:val="10"/>
          <w:szCs w:val="10"/>
        </w:rPr>
        <w:t xml:space="preserve"/>
      </w:r>
    </w:p>
    <w:p>
      <w:pPr>
        <w:spacing w:after="60" w:before="60"/>
        <w:jc w:val="left"/>
      </w:pPr>
      <w:r>
        <w:rPr>
          <w:rFonts w:ascii="Arial" w:cs="Arial" w:eastAsia="Arial" w:hAnsi="Arial"/>
          <w:b w:val="false"/>
          <w:bCs w:val="false"/>
          <w:color w:val="000000"/>
          <w:sz w:val="20"/>
          <w:szCs w:val="20"/>
        </w:rPr>
        <w:t xml:space="preserve">The POA&amp;M is a living document and a federally mandated artifact under FISMA (44 U.S.C. § 3554), OMB Memorandum M-02-01, and FedRAMP Continuous Monitoring requirements. It is submitted monthly to the Authorizing Official and updated whenever new weaknesses are identified or existing items are closed, delayed, or re-assessed.</w:t>
      </w:r>
    </w:p>
    <w:p>
      <w:pPr>
        <w:spacing w:after="0" w:before="0"/>
        <w:jc w:val="left"/>
      </w:pPr>
      <w:r>
        <w:rPr>
          <w:rFonts w:ascii="Arial" w:cs="Arial" w:eastAsia="Arial" w:hAnsi="Arial"/>
          <w:b w:val="false"/>
          <w:bCs w:val="false"/>
          <w:color w:val="000000"/>
          <w:sz w:val="10"/>
          <w:szCs w:val="10"/>
        </w:rPr>
        <w:t xml:space="preserve"/>
      </w:r>
    </w:p>
    <w:p>
      <w:pPr>
        <w:pStyle w:val="Heading2"/>
        <w:spacing w:after="100" w:before="200"/>
      </w:pPr>
      <w:r>
        <w:rPr>
          <w:rFonts w:ascii="Arial" w:cs="Arial" w:eastAsia="Arial" w:hAnsi="Arial"/>
          <w:b/>
          <w:bCs/>
          <w:color w:val="2E5496"/>
          <w:sz w:val="26"/>
          <w:szCs w:val="26"/>
        </w:rPr>
        <w:t xml:space="preserve">1.2 Scope</w:t>
      </w:r>
    </w:p>
    <w:p>
      <w:pPr>
        <w:spacing w:after="60" w:before="60"/>
        <w:jc w:val="left"/>
      </w:pPr>
      <w:r>
        <w:rPr>
          <w:rFonts w:ascii="Arial" w:cs="Arial" w:eastAsia="Arial" w:hAnsi="Arial"/>
          <w:b w:val="false"/>
          <w:bCs w:val="false"/>
          <w:color w:val="000000"/>
          <w:sz w:val="20"/>
          <w:szCs w:val="20"/>
        </w:rPr>
        <w:t xml:space="preserve">This POA&amp;M covers all security weaknesses identified within the CloudVault FHX authorization boundary as defined in the System Security Plan (SSP) Section 3. It does not cover weaknesses in inherited AWS GovCloud controls (tracked in the AWS CSP's POA&amp;M) or interconnected agency systems operating under separate ATOs.</w:t>
      </w:r>
    </w:p>
    <w:p>
      <w:pPr>
        <w:spacing w:after="0" w:before="0"/>
        <w:jc w:val="left"/>
      </w:pPr>
      <w:r>
        <w:rPr>
          <w:rFonts w:ascii="Arial" w:cs="Arial" w:eastAsia="Arial" w:hAnsi="Arial"/>
          <w:b w:val="false"/>
          <w:bCs w:val="false"/>
          <w:color w:val="000000"/>
          <w:sz w:val="10"/>
          <w:szCs w:val="10"/>
        </w:rPr>
        <w:t xml:space="preserve"/>
      </w:r>
    </w:p>
    <w:p>
      <w:pPr>
        <w:pStyle w:val="Heading2"/>
        <w:spacing w:after="100" w:before="200"/>
      </w:pPr>
      <w:r>
        <w:rPr>
          <w:rFonts w:ascii="Arial" w:cs="Arial" w:eastAsia="Arial" w:hAnsi="Arial"/>
          <w:b/>
          <w:bCs/>
          <w:color w:val="2E5496"/>
          <w:sz w:val="26"/>
          <w:szCs w:val="26"/>
        </w:rPr>
        <w:t xml:space="preserve">1.3 POA&amp;M ID Convention</w:t>
      </w:r>
    </w:p>
    <w:p>
      <w:pPr>
        <w:spacing w:after="60" w:before="60"/>
        <w:jc w:val="left"/>
      </w:pPr>
      <w:r>
        <w:rPr>
          <w:rFonts w:ascii="Arial" w:cs="Arial" w:eastAsia="Arial" w:hAnsi="Arial"/>
          <w:b w:val="false"/>
          <w:bCs w:val="false"/>
          <w:color w:val="000000"/>
          <w:sz w:val="20"/>
          <w:szCs w:val="20"/>
        </w:rPr>
        <w:t xml:space="preserve">Each POA&amp;M item is assigned a unique identifier using the format: CV-FHX-POAM-[YEAR]-[SEQUENCE]</w:t>
      </w:r>
    </w:p>
    <w:p>
      <w:pPr>
        <w:spacing w:after="60" w:before="60"/>
        <w:jc w:val="left"/>
      </w:pPr>
      <w:r>
        <w:rPr>
          <w:rFonts w:ascii="Arial" w:cs="Arial" w:eastAsia="Arial" w:hAnsi="Arial"/>
          <w:b w:val="false"/>
          <w:bCs w:val="false"/>
          <w:color w:val="000000"/>
          <w:sz w:val="20"/>
          <w:szCs w:val="20"/>
        </w:rPr>
        <w:t xml:space="preserve">Example: CV-FHX-POAM-2026-001 is the first weakness formally opened in calendar year 2026.</w:t>
      </w:r>
    </w:p>
    <w:p>
      <w:r>
        <w:br/>
      </w:r>
    </w:p>
    <w:p>
      <w:pPr>
        <w:pStyle w:val="Heading1"/>
        <w:spacing w:after="140" w:before="280"/>
      </w:pPr>
      <w:r>
        <w:rPr>
          <w:rFonts w:ascii="Arial" w:cs="Arial" w:eastAsia="Arial" w:hAnsi="Arial"/>
          <w:b/>
          <w:bCs/>
          <w:color w:val="1F3864"/>
          <w:sz w:val="32"/>
          <w:szCs w:val="32"/>
        </w:rPr>
        <w:t xml:space="preserve">2. POA&amp;M Summary Dashboard</w:t>
      </w:r>
    </w:p>
    <w:p>
      <w:pPr>
        <w:pStyle w:val="Heading2"/>
        <w:spacing w:after="100" w:before="200"/>
      </w:pPr>
      <w:r>
        <w:rPr>
          <w:rFonts w:ascii="Arial" w:cs="Arial" w:eastAsia="Arial" w:hAnsi="Arial"/>
          <w:b/>
          <w:bCs/>
          <w:color w:val="2E5496"/>
          <w:sz w:val="26"/>
          <w:szCs w:val="26"/>
        </w:rPr>
        <w:t xml:space="preserve">2.1 Current Status Overview — March 2026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360"/>
        <w:gridCol w:w="4320"/>
      </w:tblGrid>
      <w:tr>
        <w:tc>
          <w:tcPr>
            <w:tcW w:type="dxa" w:w="936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Metric</w:t>
            </w:r>
          </w:p>
        </w:tc>
        <w:tc>
          <w:tcPr>
            <w:tcW w:type="dxa" w:w="432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Count</w:t>
            </w:r>
          </w:p>
        </w:tc>
      </w:tr>
      <w:tr>
        <w:tc>
          <w:tcPr>
            <w:tcW w:type="dxa" w:w="936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Total Open POA&amp;M Items</w:t>
            </w:r>
          </w:p>
        </w:tc>
        <w:tc>
          <w:tcPr>
            <w:tcW w:type="dxa" w:w="432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center"/>
          </w:tcPr>
          <w:p>
            <w:pPr>
              <w:spacing w:after="60" w:before="60"/>
              <w:jc w:val="center"/>
            </w:pPr>
            <w:r>
              <w:rPr>
                <w:rFonts w:ascii="Arial" w:cs="Arial" w:eastAsia="Arial" w:hAnsi="Arial"/>
                <w:b/>
                <w:bCs/>
                <w:color w:val="000000"/>
                <w:sz w:val="28"/>
                <w:szCs w:val="28"/>
              </w:rPr>
              <w:t xml:space="preserve">14</w:t>
            </w:r>
          </w:p>
        </w:tc>
      </w:tr>
      <w:tr>
        <w:tc>
          <w:tcPr>
            <w:tcW w:type="dxa" w:w="936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C00000"/>
                <w:sz w:val="20"/>
                <w:szCs w:val="20"/>
              </w:rPr>
              <w:t xml:space="preserve">Critical (Very High Risk) Items Open</w:t>
            </w:r>
          </w:p>
        </w:tc>
        <w:tc>
          <w:tcPr>
            <w:tcW w:type="dxa" w:w="432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center"/>
          </w:tcPr>
          <w:p>
            <w:pPr>
              <w:spacing w:after="60" w:before="60"/>
              <w:jc w:val="center"/>
            </w:pPr>
            <w:r>
              <w:rPr>
                <w:rFonts w:ascii="Arial" w:cs="Arial" w:eastAsia="Arial" w:hAnsi="Arial"/>
                <w:b/>
                <w:bCs/>
                <w:color w:val="C00000"/>
                <w:sz w:val="28"/>
                <w:szCs w:val="28"/>
              </w:rPr>
              <w:t xml:space="preserve">1</w:t>
            </w:r>
          </w:p>
        </w:tc>
      </w:tr>
      <w:tr>
        <w:tc>
          <w:tcPr>
            <w:tcW w:type="dxa" w:w="936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ED7D31"/>
                <w:sz w:val="20"/>
                <w:szCs w:val="20"/>
              </w:rPr>
              <w:t xml:space="preserve">High Risk Items Open</w:t>
            </w:r>
          </w:p>
        </w:tc>
        <w:tc>
          <w:tcPr>
            <w:tcW w:type="dxa" w:w="432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center"/>
          </w:tcPr>
          <w:p>
            <w:pPr>
              <w:spacing w:after="60" w:before="60"/>
              <w:jc w:val="center"/>
            </w:pPr>
            <w:r>
              <w:rPr>
                <w:rFonts w:ascii="Arial" w:cs="Arial" w:eastAsia="Arial" w:hAnsi="Arial"/>
                <w:b/>
                <w:bCs/>
                <w:color w:val="ED7D31"/>
                <w:sz w:val="28"/>
                <w:szCs w:val="28"/>
              </w:rPr>
              <w:t xml:space="preserve">3</w:t>
            </w:r>
          </w:p>
        </w:tc>
      </w:tr>
      <w:tr>
        <w:tc>
          <w:tcPr>
            <w:tcW w:type="dxa" w:w="936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7F6000"/>
                <w:sz w:val="20"/>
                <w:szCs w:val="20"/>
              </w:rPr>
              <w:t xml:space="preserve">Moderate Risk Items Open</w:t>
            </w:r>
          </w:p>
        </w:tc>
        <w:tc>
          <w:tcPr>
            <w:tcW w:type="dxa" w:w="432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center"/>
          </w:tcPr>
          <w:p>
            <w:pPr>
              <w:spacing w:after="60" w:before="60"/>
              <w:jc w:val="center"/>
            </w:pPr>
            <w:r>
              <w:rPr>
                <w:rFonts w:ascii="Arial" w:cs="Arial" w:eastAsia="Arial" w:hAnsi="Arial"/>
                <w:b/>
                <w:bCs/>
                <w:color w:val="7F6000"/>
                <w:sz w:val="28"/>
                <w:szCs w:val="28"/>
              </w:rPr>
              <w:t xml:space="preserve">6</w:t>
            </w:r>
          </w:p>
        </w:tc>
      </w:tr>
      <w:tr>
        <w:tc>
          <w:tcPr>
            <w:tcW w:type="dxa" w:w="936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375623"/>
                <w:sz w:val="20"/>
                <w:szCs w:val="20"/>
              </w:rPr>
              <w:t xml:space="preserve">Low Risk Items Open</w:t>
            </w:r>
          </w:p>
        </w:tc>
        <w:tc>
          <w:tcPr>
            <w:tcW w:type="dxa" w:w="432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center"/>
          </w:tcPr>
          <w:p>
            <w:pPr>
              <w:spacing w:after="60" w:before="60"/>
              <w:jc w:val="center"/>
            </w:pPr>
            <w:r>
              <w:rPr>
                <w:rFonts w:ascii="Arial" w:cs="Arial" w:eastAsia="Arial" w:hAnsi="Arial"/>
                <w:b/>
                <w:bCs/>
                <w:color w:val="375623"/>
                <w:sz w:val="28"/>
                <w:szCs w:val="28"/>
              </w:rPr>
              <w:t xml:space="preserve">4</w:t>
            </w:r>
          </w:p>
        </w:tc>
      </w:tr>
      <w:tr>
        <w:tc>
          <w:tcPr>
            <w:tcW w:type="dxa" w:w="936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375623"/>
                <w:sz w:val="20"/>
                <w:szCs w:val="20"/>
              </w:rPr>
              <w:t xml:space="preserve">Items Closed This Reporting Period</w:t>
            </w:r>
          </w:p>
        </w:tc>
        <w:tc>
          <w:tcPr>
            <w:tcW w:type="dxa" w:w="432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center"/>
          </w:tcPr>
          <w:p>
            <w:pPr>
              <w:spacing w:after="60" w:before="60"/>
              <w:jc w:val="center"/>
            </w:pPr>
            <w:r>
              <w:rPr>
                <w:rFonts w:ascii="Arial" w:cs="Arial" w:eastAsia="Arial" w:hAnsi="Arial"/>
                <w:b/>
                <w:bCs/>
                <w:color w:val="375623"/>
                <w:sz w:val="28"/>
                <w:szCs w:val="28"/>
              </w:rPr>
              <w:t xml:space="preserve">3</w:t>
            </w:r>
          </w:p>
        </w:tc>
      </w:tr>
      <w:tr>
        <w:tc>
          <w:tcPr>
            <w:tcW w:type="dxa" w:w="936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C00000"/>
                <w:sz w:val="20"/>
                <w:szCs w:val="20"/>
              </w:rPr>
              <w:t xml:space="preserve">Items Past Due / Overdue</w:t>
            </w:r>
          </w:p>
        </w:tc>
        <w:tc>
          <w:tcPr>
            <w:tcW w:type="dxa" w:w="432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center"/>
          </w:tcPr>
          <w:p>
            <w:pPr>
              <w:spacing w:after="60" w:before="60"/>
              <w:jc w:val="center"/>
            </w:pPr>
            <w:r>
              <w:rPr>
                <w:rFonts w:ascii="Arial" w:cs="Arial" w:eastAsia="Arial" w:hAnsi="Arial"/>
                <w:b/>
                <w:bCs/>
                <w:color w:val="C00000"/>
                <w:sz w:val="28"/>
                <w:szCs w:val="28"/>
              </w:rPr>
              <w:t xml:space="preserve">1</w:t>
            </w:r>
          </w:p>
        </w:tc>
      </w:tr>
      <w:tr>
        <w:tc>
          <w:tcPr>
            <w:tcW w:type="dxa" w:w="936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ED7D31"/>
                <w:sz w:val="20"/>
                <w:szCs w:val="20"/>
              </w:rPr>
              <w:t xml:space="preserve">Items with Approved Extensions</w:t>
            </w:r>
          </w:p>
        </w:tc>
        <w:tc>
          <w:tcPr>
            <w:tcW w:type="dxa" w:w="432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center"/>
          </w:tcPr>
          <w:p>
            <w:pPr>
              <w:spacing w:after="60" w:before="60"/>
              <w:jc w:val="center"/>
            </w:pPr>
            <w:r>
              <w:rPr>
                <w:rFonts w:ascii="Arial" w:cs="Arial" w:eastAsia="Arial" w:hAnsi="Arial"/>
                <w:b/>
                <w:bCs/>
                <w:color w:val="ED7D31"/>
                <w:sz w:val="28"/>
                <w:szCs w:val="28"/>
              </w:rPr>
              <w:t xml:space="preserve">2</w:t>
            </w:r>
          </w:p>
        </w:tc>
      </w:tr>
      <w:tr>
        <w:tc>
          <w:tcPr>
            <w:tcW w:type="dxa" w:w="936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Items with Active Compensating Controls</w:t>
            </w:r>
          </w:p>
        </w:tc>
        <w:tc>
          <w:tcPr>
            <w:tcW w:type="dxa" w:w="432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center"/>
          </w:tcPr>
          <w:p>
            <w:pPr>
              <w:spacing w:after="60" w:before="60"/>
              <w:jc w:val="center"/>
            </w:pPr>
            <w:r>
              <w:rPr>
                <w:rFonts w:ascii="Arial" w:cs="Arial" w:eastAsia="Arial" w:hAnsi="Arial"/>
                <w:b/>
                <w:bCs/>
                <w:color w:val="2E5496"/>
                <w:sz w:val="28"/>
                <w:szCs w:val="28"/>
              </w:rPr>
              <w:t xml:space="preserve">4</w:t>
            </w:r>
          </w:p>
        </w:tc>
      </w:tr>
      <w:tr>
        <w:tc>
          <w:tcPr>
            <w:tcW w:type="dxa" w:w="936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New Items Opened This Period</w:t>
            </w:r>
          </w:p>
        </w:tc>
        <w:tc>
          <w:tcPr>
            <w:tcW w:type="dxa" w:w="432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center"/>
          </w:tcPr>
          <w:p>
            <w:pPr>
              <w:spacing w:after="60" w:before="60"/>
              <w:jc w:val="center"/>
            </w:pPr>
            <w:r>
              <w:rPr>
                <w:rFonts w:ascii="Arial" w:cs="Arial" w:eastAsia="Arial" w:hAnsi="Arial"/>
                <w:b/>
                <w:bCs/>
                <w:color w:val="2E5496"/>
                <w:sz w:val="28"/>
                <w:szCs w:val="28"/>
              </w:rPr>
              <w:t xml:space="preserve">2</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p>
      <w:pPr>
        <w:pStyle w:val="Heading2"/>
        <w:spacing w:after="100" w:before="200"/>
      </w:pPr>
      <w:r>
        <w:rPr>
          <w:rFonts w:ascii="Arial" w:cs="Arial" w:eastAsia="Arial" w:hAnsi="Arial"/>
          <w:b/>
          <w:bCs/>
          <w:color w:val="2E5496"/>
          <w:sz w:val="26"/>
          <w:szCs w:val="26"/>
        </w:rPr>
        <w:t xml:space="preserve">2.2 Risk Posture Trend (October 2025 — March 2026)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1920"/>
        <w:gridCol w:w="1680"/>
        <w:gridCol w:w="1680"/>
        <w:gridCol w:w="1440"/>
      </w:tblGrid>
      <w:tr>
        <w:tc>
          <w:tcPr>
            <w:tcW w:type="dxa" w:w="360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Month</w:t>
            </w:r>
          </w:p>
        </w:tc>
        <w:tc>
          <w:tcPr>
            <w:tcW w:type="dxa" w:w="168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Critical</w:t>
            </w:r>
          </w:p>
        </w:tc>
        <w:tc>
          <w:tcPr>
            <w:tcW w:type="dxa" w:w="168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High</w:t>
            </w:r>
          </w:p>
        </w:tc>
        <w:tc>
          <w:tcPr>
            <w:tcW w:type="dxa" w:w="192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Moderate</w:t>
            </w:r>
          </w:p>
        </w:tc>
        <w:tc>
          <w:tcPr>
            <w:tcW w:type="dxa" w:w="168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Low</w:t>
            </w:r>
          </w:p>
        </w:tc>
        <w:tc>
          <w:tcPr>
            <w:tcW w:type="dxa" w:w="168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Total Open</w:t>
            </w:r>
          </w:p>
        </w:tc>
        <w:tc>
          <w:tcPr>
            <w:tcW w:type="dxa" w:w="144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Trend</w:t>
            </w:r>
          </w:p>
        </w:tc>
      </w:tr>
      <w:tr>
        <w:tc>
          <w:tcPr>
            <w:tcW w:type="dxa" w:w="36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Oct 2025 (Initial ATO)</w:t>
            </w:r>
          </w:p>
        </w:tc>
        <w:tc>
          <w:tcPr>
            <w:tcW w:type="dxa" w:w="168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bCs/>
                <w:color w:val="C00000"/>
                <w:sz w:val="20"/>
                <w:szCs w:val="20"/>
              </w:rPr>
              <w:t xml:space="preserve">2</w:t>
            </w:r>
          </w:p>
        </w:tc>
        <w:tc>
          <w:tcPr>
            <w:tcW w:type="dxa" w:w="16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5</w:t>
            </w:r>
          </w:p>
        </w:tc>
        <w:tc>
          <w:tcPr>
            <w:tcW w:type="dxa" w:w="192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center"/>
            </w:pPr>
            <w:r>
              <w:rPr>
                <w:rFonts w:ascii="Arial" w:cs="Arial" w:eastAsia="Arial" w:hAnsi="Arial"/>
                <w:b/>
                <w:bCs/>
                <w:color w:val="7F6000"/>
                <w:sz w:val="20"/>
                <w:szCs w:val="20"/>
              </w:rPr>
              <w:t xml:space="preserve">9</w:t>
            </w:r>
          </w:p>
        </w:tc>
        <w:tc>
          <w:tcPr>
            <w:tcW w:type="dxa" w:w="168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7</w:t>
            </w:r>
          </w:p>
        </w:tc>
        <w:tc>
          <w:tcPr>
            <w:tcW w:type="dxa" w:w="16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23</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375623"/>
                <w:sz w:val="20"/>
                <w:szCs w:val="20"/>
              </w:rPr>
              <w:t xml:space="preserve">Baseline</w:t>
            </w:r>
          </w:p>
        </w:tc>
      </w:tr>
      <w:tr>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Nov 2025</w:t>
            </w:r>
          </w:p>
        </w:tc>
        <w:tc>
          <w:tcPr>
            <w:tcW w:type="dxa" w:w="168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bCs/>
                <w:color w:val="C00000"/>
                <w:sz w:val="20"/>
                <w:szCs w:val="20"/>
              </w:rPr>
              <w:t xml:space="preserve">2</w:t>
            </w:r>
          </w:p>
        </w:tc>
        <w:tc>
          <w:tcPr>
            <w:tcW w:type="dxa" w:w="16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5</w:t>
            </w:r>
          </w:p>
        </w:tc>
        <w:tc>
          <w:tcPr>
            <w:tcW w:type="dxa" w:w="192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center"/>
            </w:pPr>
            <w:r>
              <w:rPr>
                <w:rFonts w:ascii="Arial" w:cs="Arial" w:eastAsia="Arial" w:hAnsi="Arial"/>
                <w:b/>
                <w:bCs/>
                <w:color w:val="7F6000"/>
                <w:sz w:val="20"/>
                <w:szCs w:val="20"/>
              </w:rPr>
              <w:t xml:space="preserve">8</w:t>
            </w:r>
          </w:p>
        </w:tc>
        <w:tc>
          <w:tcPr>
            <w:tcW w:type="dxa" w:w="168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6</w:t>
            </w:r>
          </w:p>
        </w:tc>
        <w:tc>
          <w:tcPr>
            <w:tcW w:type="dxa" w:w="16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21</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375623"/>
                <w:sz w:val="20"/>
                <w:szCs w:val="20"/>
              </w:rPr>
              <w:t xml:space="preserve">▼  -2</w:t>
            </w:r>
          </w:p>
        </w:tc>
      </w:tr>
      <w:tr>
        <w:tc>
          <w:tcPr>
            <w:tcW w:type="dxa" w:w="36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Dec 2025</w:t>
            </w:r>
          </w:p>
        </w:tc>
        <w:tc>
          <w:tcPr>
            <w:tcW w:type="dxa" w:w="168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bCs/>
                <w:color w:val="C00000"/>
                <w:sz w:val="20"/>
                <w:szCs w:val="20"/>
              </w:rPr>
              <w:t xml:space="preserve">1</w:t>
            </w:r>
          </w:p>
        </w:tc>
        <w:tc>
          <w:tcPr>
            <w:tcW w:type="dxa" w:w="16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4</w:t>
            </w:r>
          </w:p>
        </w:tc>
        <w:tc>
          <w:tcPr>
            <w:tcW w:type="dxa" w:w="192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center"/>
            </w:pPr>
            <w:r>
              <w:rPr>
                <w:rFonts w:ascii="Arial" w:cs="Arial" w:eastAsia="Arial" w:hAnsi="Arial"/>
                <w:b/>
                <w:bCs/>
                <w:color w:val="7F6000"/>
                <w:sz w:val="20"/>
                <w:szCs w:val="20"/>
              </w:rPr>
              <w:t xml:space="preserve">8</w:t>
            </w:r>
          </w:p>
        </w:tc>
        <w:tc>
          <w:tcPr>
            <w:tcW w:type="dxa" w:w="168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5</w:t>
            </w:r>
          </w:p>
        </w:tc>
        <w:tc>
          <w:tcPr>
            <w:tcW w:type="dxa" w:w="16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18</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375623"/>
                <w:sz w:val="20"/>
                <w:szCs w:val="20"/>
              </w:rPr>
              <w:t xml:space="preserve">▼  -3</w:t>
            </w:r>
          </w:p>
        </w:tc>
      </w:tr>
      <w:tr>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Jan 2026</w:t>
            </w:r>
          </w:p>
        </w:tc>
        <w:tc>
          <w:tcPr>
            <w:tcW w:type="dxa" w:w="168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bCs/>
                <w:color w:val="C00000"/>
                <w:sz w:val="20"/>
                <w:szCs w:val="20"/>
              </w:rPr>
              <w:t xml:space="preserve">1</w:t>
            </w:r>
          </w:p>
        </w:tc>
        <w:tc>
          <w:tcPr>
            <w:tcW w:type="dxa" w:w="16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4</w:t>
            </w:r>
          </w:p>
        </w:tc>
        <w:tc>
          <w:tcPr>
            <w:tcW w:type="dxa" w:w="192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center"/>
            </w:pPr>
            <w:r>
              <w:rPr>
                <w:rFonts w:ascii="Arial" w:cs="Arial" w:eastAsia="Arial" w:hAnsi="Arial"/>
                <w:b/>
                <w:bCs/>
                <w:color w:val="7F6000"/>
                <w:sz w:val="20"/>
                <w:szCs w:val="20"/>
              </w:rPr>
              <w:t xml:space="preserve">7</w:t>
            </w:r>
          </w:p>
        </w:tc>
        <w:tc>
          <w:tcPr>
            <w:tcW w:type="dxa" w:w="168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5</w:t>
            </w:r>
          </w:p>
        </w:tc>
        <w:tc>
          <w:tcPr>
            <w:tcW w:type="dxa" w:w="16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17</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375623"/>
                <w:sz w:val="20"/>
                <w:szCs w:val="20"/>
              </w:rPr>
              <w:t xml:space="preserve">▼  -1</w:t>
            </w:r>
          </w:p>
        </w:tc>
      </w:tr>
      <w:tr>
        <w:tc>
          <w:tcPr>
            <w:tcW w:type="dxa" w:w="36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Feb 2026</w:t>
            </w:r>
          </w:p>
        </w:tc>
        <w:tc>
          <w:tcPr>
            <w:tcW w:type="dxa" w:w="168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bCs/>
                <w:color w:val="C00000"/>
                <w:sz w:val="20"/>
                <w:szCs w:val="20"/>
              </w:rPr>
              <w:t xml:space="preserve">1</w:t>
            </w:r>
          </w:p>
        </w:tc>
        <w:tc>
          <w:tcPr>
            <w:tcW w:type="dxa" w:w="16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3</w:t>
            </w:r>
          </w:p>
        </w:tc>
        <w:tc>
          <w:tcPr>
            <w:tcW w:type="dxa" w:w="192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center"/>
            </w:pPr>
            <w:r>
              <w:rPr>
                <w:rFonts w:ascii="Arial" w:cs="Arial" w:eastAsia="Arial" w:hAnsi="Arial"/>
                <w:b/>
                <w:bCs/>
                <w:color w:val="7F6000"/>
                <w:sz w:val="20"/>
                <w:szCs w:val="20"/>
              </w:rPr>
              <w:t xml:space="preserve">7</w:t>
            </w:r>
          </w:p>
        </w:tc>
        <w:tc>
          <w:tcPr>
            <w:tcW w:type="dxa" w:w="168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4</w:t>
            </w:r>
          </w:p>
        </w:tc>
        <w:tc>
          <w:tcPr>
            <w:tcW w:type="dxa" w:w="16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15</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375623"/>
                <w:sz w:val="20"/>
                <w:szCs w:val="20"/>
              </w:rPr>
              <w:t xml:space="preserve">▼  -2</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000000"/>
                <w:sz w:val="20"/>
                <w:szCs w:val="20"/>
              </w:rPr>
              <w:t xml:space="preserve">Mar 2026 (Current)</w:t>
            </w:r>
          </w:p>
        </w:tc>
        <w:tc>
          <w:tcPr>
            <w:tcW w:type="dxa" w:w="168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bCs/>
                <w:color w:val="C00000"/>
                <w:sz w:val="20"/>
                <w:szCs w:val="20"/>
              </w:rPr>
              <w:t xml:space="preserve">1</w:t>
            </w:r>
          </w:p>
        </w:tc>
        <w:tc>
          <w:tcPr>
            <w:tcW w:type="dxa" w:w="16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3</w:t>
            </w:r>
          </w:p>
        </w:tc>
        <w:tc>
          <w:tcPr>
            <w:tcW w:type="dxa" w:w="192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center"/>
            </w:pPr>
            <w:r>
              <w:rPr>
                <w:rFonts w:ascii="Arial" w:cs="Arial" w:eastAsia="Arial" w:hAnsi="Arial"/>
                <w:b/>
                <w:bCs/>
                <w:color w:val="7F6000"/>
                <w:sz w:val="20"/>
                <w:szCs w:val="20"/>
              </w:rPr>
              <w:t xml:space="preserve">6</w:t>
            </w:r>
          </w:p>
        </w:tc>
        <w:tc>
          <w:tcPr>
            <w:tcW w:type="dxa" w:w="168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4</w:t>
            </w:r>
          </w:p>
        </w:tc>
        <w:tc>
          <w:tcPr>
            <w:tcW w:type="dxa" w:w="168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center"/>
            </w:pPr>
            <w:r>
              <w:rPr>
                <w:rFonts w:ascii="Arial" w:cs="Arial" w:eastAsia="Arial" w:hAnsi="Arial"/>
                <w:b/>
                <w:bCs/>
                <w:color w:val="000000"/>
                <w:sz w:val="20"/>
                <w:szCs w:val="20"/>
              </w:rPr>
              <w:t xml:space="preserve">14</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  -1  ✓</w:t>
            </w:r>
          </w:p>
        </w:tc>
      </w:tr>
    </w:tbl>
    <w:p>
      <w:pPr>
        <w:spacing w:after="0" w:before="0"/>
        <w:jc w:val="left"/>
      </w:pPr>
      <w:r>
        <w:rPr>
          <w:rFonts w:ascii="Arial" w:cs="Arial" w:eastAsia="Arial" w:hAnsi="Arial"/>
          <w:b w:val="false"/>
          <w:bCs w:val="false"/>
          <w:color w:val="000000"/>
          <w:sz w:val="10"/>
          <w:szCs w:val="10"/>
        </w:rPr>
        <w:t xml:space="preserve"/>
      </w:r>
    </w:p>
    <w:p>
      <w:pPr>
        <w:spacing w:after="60" w:before="60"/>
        <w:jc w:val="left"/>
      </w:pPr>
      <w:r>
        <w:rPr>
          <w:rFonts w:ascii="Arial" w:cs="Arial" w:eastAsia="Arial" w:hAnsi="Arial"/>
          <w:b w:val="false"/>
          <w:bCs w:val="false"/>
          <w:color w:val="000000"/>
          <w:sz w:val="20"/>
          <w:szCs w:val="20"/>
        </w:rPr>
        <w:t xml:space="preserve">Trend Assessment: The overall risk posture is IMPROVING. Total open items decreased from 23 at initial ATO to 14 in the current period — a 39% reduction over five months. The one remaining Critical item (CV-FHX-POAM-2025-001) is actively being remediated with AO-approved extension through June 30, 2026.</w:t>
      </w:r>
    </w:p>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p>
      <w:pPr>
        <w:pStyle w:val="Heading2"/>
        <w:spacing w:after="100" w:before="200"/>
      </w:pPr>
      <w:r>
        <w:rPr>
          <w:rFonts w:ascii="Arial" w:cs="Arial" w:eastAsia="Arial" w:hAnsi="Arial"/>
          <w:b/>
          <w:bCs/>
          <w:color w:val="2E5496"/>
          <w:sz w:val="26"/>
          <w:szCs w:val="26"/>
        </w:rPr>
        <w:t xml:space="preserve">2.3 Control Family Distribution of Open Items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2400"/>
        <w:gridCol w:w="3000"/>
      </w:tblGrid>
      <w:tr>
        <w:tc>
          <w:tcPr>
            <w:tcW w:type="dxa" w:w="180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Family</w:t>
            </w:r>
          </w:p>
        </w:tc>
        <w:tc>
          <w:tcPr>
            <w:tcW w:type="dxa" w:w="648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Description</w:t>
            </w:r>
          </w:p>
        </w:tc>
        <w:tc>
          <w:tcPr>
            <w:tcW w:type="dxa" w:w="240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Open Items</w:t>
            </w:r>
          </w:p>
        </w:tc>
        <w:tc>
          <w:tcPr>
            <w:tcW w:type="dxa" w:w="300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Highest Severity</w:t>
            </w:r>
          </w:p>
        </w:tc>
      </w:tr>
      <w:tr>
        <w:tc>
          <w:tcPr>
            <w:tcW w:type="dxa" w:w="180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AC</w:t>
            </w:r>
          </w:p>
        </w:tc>
        <w:tc>
          <w:tcPr>
            <w:tcW w:type="dxa" w:w="64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Access Control</w:t>
            </w:r>
          </w:p>
        </w:tc>
        <w:tc>
          <w:tcPr>
            <w:tcW w:type="dxa" w:w="24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bCs/>
                <w:color w:val="000000"/>
                <w:sz w:val="22"/>
                <w:szCs w:val="22"/>
              </w:rPr>
              <w:t xml:space="preserve">3</w:t>
            </w:r>
          </w:p>
        </w:tc>
        <w:tc>
          <w:tcPr>
            <w:tcW w:type="dxa" w:w="300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High</w:t>
            </w:r>
          </w:p>
        </w:tc>
      </w:tr>
      <w:tr>
        <w:tc>
          <w:tcPr>
            <w:tcW w:type="dxa" w:w="180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AU</w:t>
            </w:r>
          </w:p>
        </w:tc>
        <w:tc>
          <w:tcPr>
            <w:tcW w:type="dxa" w:w="64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Audit and Accountability</w:t>
            </w:r>
          </w:p>
        </w:tc>
        <w:tc>
          <w:tcPr>
            <w:tcW w:type="dxa" w:w="24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bCs/>
                <w:color w:val="000000"/>
                <w:sz w:val="22"/>
                <w:szCs w:val="22"/>
              </w:rPr>
              <w:t xml:space="preserve">2</w:t>
            </w:r>
          </w:p>
        </w:tc>
        <w:tc>
          <w:tcPr>
            <w:tcW w:type="dxa" w:w="30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center"/>
            </w:pPr>
            <w:r>
              <w:rPr>
                <w:rFonts w:ascii="Arial" w:cs="Arial" w:eastAsia="Arial" w:hAnsi="Arial"/>
                <w:b/>
                <w:bCs/>
                <w:color w:val="7F6000"/>
                <w:sz w:val="20"/>
                <w:szCs w:val="20"/>
              </w:rPr>
              <w:t xml:space="preserve">Moderate</w:t>
            </w:r>
          </w:p>
        </w:tc>
      </w:tr>
      <w:tr>
        <w:tc>
          <w:tcPr>
            <w:tcW w:type="dxa" w:w="180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CM</w:t>
            </w:r>
          </w:p>
        </w:tc>
        <w:tc>
          <w:tcPr>
            <w:tcW w:type="dxa" w:w="64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Configuration Management</w:t>
            </w:r>
          </w:p>
        </w:tc>
        <w:tc>
          <w:tcPr>
            <w:tcW w:type="dxa" w:w="24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bCs/>
                <w:color w:val="000000"/>
                <w:sz w:val="22"/>
                <w:szCs w:val="22"/>
              </w:rPr>
              <w:t xml:space="preserve">3</w:t>
            </w:r>
          </w:p>
        </w:tc>
        <w:tc>
          <w:tcPr>
            <w:tcW w:type="dxa" w:w="300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bCs/>
                <w:color w:val="C00000"/>
                <w:sz w:val="20"/>
                <w:szCs w:val="20"/>
              </w:rPr>
              <w:t xml:space="preserve">Critical</w:t>
            </w:r>
          </w:p>
        </w:tc>
      </w:tr>
      <w:tr>
        <w:tc>
          <w:tcPr>
            <w:tcW w:type="dxa" w:w="180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IA</w:t>
            </w:r>
          </w:p>
        </w:tc>
        <w:tc>
          <w:tcPr>
            <w:tcW w:type="dxa" w:w="64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Identification and Authentication</w:t>
            </w:r>
          </w:p>
        </w:tc>
        <w:tc>
          <w:tcPr>
            <w:tcW w:type="dxa" w:w="24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bCs/>
                <w:color w:val="000000"/>
                <w:sz w:val="22"/>
                <w:szCs w:val="22"/>
              </w:rPr>
              <w:t xml:space="preserve">2</w:t>
            </w:r>
          </w:p>
        </w:tc>
        <w:tc>
          <w:tcPr>
            <w:tcW w:type="dxa" w:w="300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High</w:t>
            </w:r>
          </w:p>
        </w:tc>
      </w:tr>
      <w:tr>
        <w:tc>
          <w:tcPr>
            <w:tcW w:type="dxa" w:w="180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SC</w:t>
            </w:r>
          </w:p>
        </w:tc>
        <w:tc>
          <w:tcPr>
            <w:tcW w:type="dxa" w:w="64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System and Communications Protection</w:t>
            </w:r>
          </w:p>
        </w:tc>
        <w:tc>
          <w:tcPr>
            <w:tcW w:type="dxa" w:w="24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bCs/>
                <w:color w:val="000000"/>
                <w:sz w:val="22"/>
                <w:szCs w:val="22"/>
              </w:rPr>
              <w:t xml:space="preserve">2</w:t>
            </w:r>
          </w:p>
        </w:tc>
        <w:tc>
          <w:tcPr>
            <w:tcW w:type="dxa" w:w="30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center"/>
            </w:pPr>
            <w:r>
              <w:rPr>
                <w:rFonts w:ascii="Arial" w:cs="Arial" w:eastAsia="Arial" w:hAnsi="Arial"/>
                <w:b/>
                <w:bCs/>
                <w:color w:val="7F6000"/>
                <w:sz w:val="20"/>
                <w:szCs w:val="20"/>
              </w:rPr>
              <w:t xml:space="preserve">Moderate</w:t>
            </w:r>
          </w:p>
        </w:tc>
      </w:tr>
      <w:tr>
        <w:tc>
          <w:tcPr>
            <w:tcW w:type="dxa" w:w="180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SI</w:t>
            </w:r>
          </w:p>
        </w:tc>
        <w:tc>
          <w:tcPr>
            <w:tcW w:type="dxa" w:w="64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System and Information Integrity</w:t>
            </w:r>
          </w:p>
        </w:tc>
        <w:tc>
          <w:tcPr>
            <w:tcW w:type="dxa" w:w="24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bCs/>
                <w:color w:val="000000"/>
                <w:sz w:val="22"/>
                <w:szCs w:val="22"/>
              </w:rPr>
              <w:t xml:space="preserve">1</w:t>
            </w:r>
          </w:p>
        </w:tc>
        <w:tc>
          <w:tcPr>
            <w:tcW w:type="dxa" w:w="300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High</w:t>
            </w:r>
          </w:p>
        </w:tc>
      </w:tr>
      <w:tr>
        <w:tc>
          <w:tcPr>
            <w:tcW w:type="dxa" w:w="180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CP</w:t>
            </w:r>
          </w:p>
        </w:tc>
        <w:tc>
          <w:tcPr>
            <w:tcW w:type="dxa" w:w="64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Contingency Planning</w:t>
            </w:r>
          </w:p>
        </w:tc>
        <w:tc>
          <w:tcPr>
            <w:tcW w:type="dxa" w:w="24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bCs/>
                <w:color w:val="000000"/>
                <w:sz w:val="22"/>
                <w:szCs w:val="22"/>
              </w:rPr>
              <w:t xml:space="preserve">1</w:t>
            </w:r>
          </w:p>
        </w:tc>
        <w:tc>
          <w:tcPr>
            <w:tcW w:type="dxa" w:w="300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Low</w:t>
            </w:r>
          </w:p>
        </w:tc>
      </w:tr>
    </w:tbl>
    <w:p>
      <w:r>
        <w:br/>
      </w:r>
    </w:p>
    <w:p>
      <w:pPr>
        <w:pStyle w:val="Heading1"/>
        <w:spacing w:after="140" w:before="280"/>
      </w:pPr>
      <w:r>
        <w:rPr>
          <w:rFonts w:ascii="Arial" w:cs="Arial" w:eastAsia="Arial" w:hAnsi="Arial"/>
          <w:b/>
          <w:bCs/>
          <w:color w:val="1F3864"/>
          <w:sz w:val="32"/>
          <w:szCs w:val="32"/>
        </w:rPr>
        <w:t xml:space="preserve">3. Risk Rating and Severity Definitions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160"/>
        <w:gridCol w:w="4680"/>
        <w:gridCol w:w="2280"/>
      </w:tblGrid>
      <w:tr>
        <w:tc>
          <w:tcPr>
            <w:tcW w:type="dxa" w:w="240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Severity</w:t>
            </w:r>
          </w:p>
        </w:tc>
        <w:tc>
          <w:tcPr>
            <w:tcW w:type="dxa" w:w="216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CVSS Range</w:t>
            </w:r>
          </w:p>
        </w:tc>
        <w:tc>
          <w:tcPr>
            <w:tcW w:type="dxa" w:w="216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NIST Risk Level</w:t>
            </w:r>
          </w:p>
        </w:tc>
        <w:tc>
          <w:tcPr>
            <w:tcW w:type="dxa" w:w="468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POA&amp;M Resolution Requirement</w:t>
            </w:r>
          </w:p>
        </w:tc>
        <w:tc>
          <w:tcPr>
            <w:tcW w:type="dxa" w:w="228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Monthly Reporting</w:t>
            </w:r>
          </w:p>
        </w:tc>
      </w:tr>
      <w:tr>
        <w:tc>
          <w:tcPr>
            <w:tcW w:type="dxa" w:w="240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bCs/>
                <w:color w:val="C00000"/>
                <w:sz w:val="20"/>
                <w:szCs w:val="20"/>
              </w:rPr>
              <w:t xml:space="preserve">Critical</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9.0 – 10.0</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Very High</w:t>
            </w:r>
          </w:p>
        </w:tc>
        <w:tc>
          <w:tcPr>
            <w:tcW w:type="dxa" w:w="46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Within 30 days of ATO — AO escalation required</w:t>
            </w:r>
          </w:p>
        </w:tc>
        <w:tc>
          <w:tcPr>
            <w:tcW w:type="dxa" w:w="22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Required — AO escalation</w:t>
            </w:r>
          </w:p>
        </w:tc>
      </w:tr>
      <w:tr>
        <w:tc>
          <w:tcPr>
            <w:tcW w:type="dxa" w:w="240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High</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7.0 – 8.9</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High</w:t>
            </w:r>
          </w:p>
        </w:tc>
        <w:tc>
          <w:tcPr>
            <w:tcW w:type="dxa" w:w="46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Within 90 days of ATO</w:t>
            </w:r>
          </w:p>
        </w:tc>
        <w:tc>
          <w:tcPr>
            <w:tcW w:type="dxa" w:w="22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Required</w:t>
            </w:r>
          </w:p>
        </w:tc>
      </w:tr>
      <w:tr>
        <w:tc>
          <w:tcPr>
            <w:tcW w:type="dxa" w:w="24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center"/>
            </w:pPr>
            <w:r>
              <w:rPr>
                <w:rFonts w:ascii="Arial" w:cs="Arial" w:eastAsia="Arial" w:hAnsi="Arial"/>
                <w:b/>
                <w:bCs/>
                <w:color w:val="7F6000"/>
                <w:sz w:val="20"/>
                <w:szCs w:val="20"/>
              </w:rPr>
              <w:t xml:space="preserve">Moderate</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4.0 – 6.9</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Moderate</w:t>
            </w:r>
          </w:p>
        </w:tc>
        <w:tc>
          <w:tcPr>
            <w:tcW w:type="dxa" w:w="46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Within 180 days of ATO</w:t>
            </w:r>
          </w:p>
        </w:tc>
        <w:tc>
          <w:tcPr>
            <w:tcW w:type="dxa" w:w="22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Required</w:t>
            </w:r>
          </w:p>
        </w:tc>
      </w:tr>
      <w:tr>
        <w:tc>
          <w:tcPr>
            <w:tcW w:type="dxa" w:w="240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Low</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0.1 – 3.9</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Low</w:t>
            </w:r>
          </w:p>
        </w:tc>
        <w:tc>
          <w:tcPr>
            <w:tcW w:type="dxa" w:w="46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Within 365 days of ATO</w:t>
            </w:r>
          </w:p>
        </w:tc>
        <w:tc>
          <w:tcPr>
            <w:tcW w:type="dxa" w:w="22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Required</w:t>
            </w:r>
          </w:p>
        </w:tc>
      </w:tr>
      <w:tr>
        <w:tc>
          <w:tcPr>
            <w:tcW w:type="dxa" w:w="24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bCs/>
                <w:color w:val="595959"/>
                <w:sz w:val="20"/>
                <w:szCs w:val="20"/>
              </w:rPr>
              <w:t xml:space="preserve">Informational</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N/A</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Info</w:t>
            </w:r>
          </w:p>
        </w:tc>
        <w:tc>
          <w:tcPr>
            <w:tcW w:type="dxa" w:w="46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No POA&amp;M required</w:t>
            </w:r>
          </w:p>
        </w:tc>
        <w:tc>
          <w:tcPr>
            <w:tcW w:type="dxa" w:w="22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Optional</w:t>
            </w:r>
          </w:p>
        </w:tc>
      </w:tr>
    </w:tbl>
    <w:p>
      <w:r>
        <w:br/>
      </w:r>
    </w:p>
    <w:p>
      <w:pPr>
        <w:pStyle w:val="Heading1"/>
        <w:spacing w:after="140" w:before="280"/>
      </w:pPr>
      <w:r>
        <w:rPr>
          <w:rFonts w:ascii="Arial" w:cs="Arial" w:eastAsia="Arial" w:hAnsi="Arial"/>
          <w:b/>
          <w:bCs/>
          <w:color w:val="1F3864"/>
          <w:sz w:val="32"/>
          <w:szCs w:val="32"/>
        </w:rPr>
        <w:t xml:space="preserve">4. Open POA&amp;M Items</w:t>
      </w:r>
    </w:p>
    <w:p>
      <w:pPr>
        <w:pStyle w:val="Heading2"/>
        <w:spacing w:after="100" w:before="200"/>
      </w:pPr>
      <w:r>
        <w:rPr>
          <w:rFonts w:ascii="Arial" w:cs="Arial" w:eastAsia="Arial" w:hAnsi="Arial"/>
          <w:b/>
          <w:bCs/>
          <w:color w:val="2E5496"/>
          <w:sz w:val="26"/>
          <w:szCs w:val="26"/>
        </w:rPr>
        <w:t xml:space="preserve">4.1 Critical Items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0080"/>
      </w:tblGrid>
      <w:tr>
        <w:tc>
          <w:tcPr>
            <w:tcW w:type="dxa" w:w="13680"/>
            <w:gridSpan w:val="2"/>
            <w:tcBorders>
              <w:top w:val="single" w:color="1F3864" w:sz="12"/>
              <w:left w:val="single" w:color="1F3864" w:sz="12"/>
              <w:bottom w:val="single" w:color="1F3864" w:sz="12"/>
              <w:right w:val="single" w:color="1F3864" w:sz="12"/>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4"/>
                <w:szCs w:val="24"/>
              </w:rPr>
              <w:t xml:space="preserve">POA&amp;M ID: CV-FHX-POAM-2025-001</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Control(s)</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CM-6 (Configuration Settings), CM-7 (Least Functionality)</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Weakness Title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Unrestricted Outbound Network Egress on Production Application Tier</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Discovery Source</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3PAO Penetration Test (October 2025)</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Discovery Date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October 14, 2025</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Severity</w:t>
            </w:r>
          </w:p>
        </w:tc>
        <w:tc>
          <w:tcPr>
            <w:tcW w:type="dxa" w:w="1008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left"/>
            </w:pPr>
            <w:r>
              <w:rPr>
                <w:rFonts w:ascii="Arial" w:cs="Arial" w:eastAsia="Arial" w:hAnsi="Arial"/>
                <w:b/>
                <w:bCs/>
                <w:color w:val="C00000"/>
                <w:sz w:val="20"/>
                <w:szCs w:val="20"/>
              </w:rPr>
              <w:t xml:space="preserve">Critical (Very High)</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CVSS Score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9.1  —  AV:N/AC:L/PR:L/UI:N/S:C/C:H/I:H/A:H</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Status</w:t>
            </w:r>
          </w:p>
        </w:tc>
        <w:tc>
          <w:tcPr>
            <w:tcW w:type="dxa" w:w="100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In Remediation — AO-Approved Extension through June 30, 2026</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Responsible Party</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Trevor L. Abrams, Cloud Operations Lead</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ISSO Oversight</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Enechi P.C. Njeze</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Original Target Date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November 13, 2025</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Revised Target Date</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7F6000"/>
                <w:sz w:val="20"/>
                <w:szCs w:val="20"/>
              </w:rPr>
              <w:t xml:space="preserve">June 30, 2026</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Extension Approved</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Yes — AO approved December 2, 2025</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Compensating Control</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CV-FHX-CC-001 (Enhanced CloudWatch Egress Monitoring — see Section 8)</w:t>
            </w:r>
          </w:p>
        </w:tc>
      </w:tr>
      <w:tr>
        <w:tc>
          <w:tcPr>
            <w:tcW w:type="dxa" w:w="13680"/>
            <w:gridSpan w:val="2"/>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2"/>
                <w:szCs w:val="22"/>
              </w:rPr>
              <w:t xml:space="preserve">Weakness Description &amp; Corrective Action Plan</w:t>
            </w:r>
          </w:p>
        </w:tc>
      </w:tr>
      <w:tr>
        <w:tc>
          <w:tcPr>
            <w:tcW w:type="dxa" w:w="13680"/>
            <w:gridSpan w:val="2"/>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WEAKNESS: Production application tier EC2 instances permit unrestricted outbound network egress (0.0.0.0/0 on all outbound ports) via overly permissive VPC security group rules. A penetration test confirmed successful simulated PHI/FTI exfiltration through this path during authorized testing on October 14, 2025.</w:t>
            </w:r>
          </w:p>
          <w:p>
            <w:pPr>
              <w:spacing w:after="20" w:before="60"/>
              <w:jc w:val="left"/>
            </w:pPr>
            <w:r>
              <w:rPr>
                <w:rFonts w:ascii="Arial" w:cs="Arial" w:eastAsia="Arial" w:hAnsi="Arial"/>
                <w:b w:val="false"/>
                <w:bCs w:val="false"/>
                <w:color w:val="000000"/>
                <w:sz w:val="20"/>
                <w:szCs w:val="20"/>
              </w:rPr>
              <w:t xml:space="preserve"/>
            </w:r>
          </w:p>
          <w:p>
            <w:pPr>
              <w:spacing w:after="20" w:before="60"/>
              <w:jc w:val="left"/>
            </w:pPr>
            <w:r>
              <w:rPr>
                <w:rFonts w:ascii="Arial" w:cs="Arial" w:eastAsia="Arial" w:hAnsi="Arial"/>
                <w:b w:val="false"/>
                <w:bCs w:val="false"/>
                <w:color w:val="000000"/>
                <w:sz w:val="20"/>
                <w:szCs w:val="20"/>
              </w:rPr>
              <w:t xml:space="preserve">THREAT SCENARIO: An adversary achieving code execution on any application tier instance could exfiltrate all PHI and FTI (890,000+ patient records in scope) to an attacker-controlled external server with no network-layer blocking in place.</w:t>
            </w:r>
          </w:p>
          <w:p>
            <w:pPr>
              <w:spacing w:after="20" w:before="60"/>
              <w:jc w:val="left"/>
            </w:pPr>
            <w:r>
              <w:rPr>
                <w:rFonts w:ascii="Arial" w:cs="Arial" w:eastAsia="Arial" w:hAnsi="Arial"/>
                <w:b w:val="false"/>
                <w:bCs w:val="false"/>
                <w:color w:val="000000"/>
                <w:sz w:val="20"/>
                <w:szCs w:val="20"/>
              </w:rPr>
              <w:t xml:space="preserve"/>
            </w:r>
          </w:p>
          <w:p>
            <w:pPr>
              <w:spacing w:after="20" w:before="60"/>
              <w:jc w:val="left"/>
            </w:pPr>
            <w:r>
              <w:rPr>
                <w:rFonts w:ascii="Arial" w:cs="Arial" w:eastAsia="Arial" w:hAnsi="Arial"/>
                <w:b w:val="false"/>
                <w:bCs w:val="false"/>
                <w:color w:val="000000"/>
                <w:sz w:val="20"/>
                <w:szCs w:val="20"/>
              </w:rPr>
              <w:t xml:space="preserve">CORRECTIVE ACTION PLAN:</w:t>
            </w:r>
          </w:p>
          <w:p>
            <w:pPr>
              <w:spacing w:after="20" w:before="60"/>
              <w:jc w:val="left"/>
            </w:pPr>
            <w:r>
              <w:rPr>
                <w:rFonts w:ascii="Arial" w:cs="Arial" w:eastAsia="Arial" w:hAnsi="Arial"/>
                <w:b w:val="false"/>
                <w:bCs w:val="false"/>
                <w:color w:val="000000"/>
                <w:sz w:val="20"/>
                <w:szCs w:val="20"/>
              </w:rPr>
              <w:t xml:space="preserve">1. Implement egress filtering rules in all production VPC security groups restricting outbound traffic to approved destinations only.</w:t>
            </w:r>
          </w:p>
          <w:p>
            <w:pPr>
              <w:spacing w:after="20" w:before="60"/>
              <w:jc w:val="left"/>
            </w:pPr>
            <w:r>
              <w:rPr>
                <w:rFonts w:ascii="Arial" w:cs="Arial" w:eastAsia="Arial" w:hAnsi="Arial"/>
                <w:b w:val="false"/>
                <w:bCs w:val="false"/>
                <w:color w:val="000000"/>
                <w:sz w:val="20"/>
                <w:szCs w:val="20"/>
              </w:rPr>
              <w:t xml:space="preserve">2. Deploy AWS Network Firewall with domain-based egress filtering policies.</w:t>
            </w:r>
          </w:p>
          <w:p>
            <w:pPr>
              <w:spacing w:after="20" w:before="60"/>
              <w:jc w:val="left"/>
            </w:pPr>
            <w:r>
              <w:rPr>
                <w:rFonts w:ascii="Arial" w:cs="Arial" w:eastAsia="Arial" w:hAnsi="Arial"/>
                <w:b w:val="false"/>
                <w:bCs w:val="false"/>
                <w:color w:val="000000"/>
                <w:sz w:val="20"/>
                <w:szCs w:val="20"/>
              </w:rPr>
              <w:t xml:space="preserve">3. Implement VPC Flow Logs-based egress anomaly detection in Amazon GuardDuty.</w:t>
            </w:r>
          </w:p>
          <w:p>
            <w:pPr>
              <w:spacing w:after="20" w:before="60"/>
              <w:jc w:val="left"/>
            </w:pPr>
            <w:r>
              <w:rPr>
                <w:rFonts w:ascii="Arial" w:cs="Arial" w:eastAsia="Arial" w:hAnsi="Arial"/>
                <w:b w:val="false"/>
                <w:bCs w:val="false"/>
                <w:color w:val="000000"/>
                <w:sz w:val="20"/>
                <w:szCs w:val="20"/>
              </w:rPr>
              <w:t xml:space="preserve">4. Conduct regression penetration test to validate full remediation.</w:t>
            </w:r>
          </w:p>
          <w:p>
            <w:pPr>
              <w:spacing w:after="60" w:before="60"/>
              <w:jc w:val="left"/>
            </w:pPr>
            <w:r>
              <w:rPr>
                <w:rFonts w:ascii="Arial" w:cs="Arial" w:eastAsia="Arial" w:hAnsi="Arial"/>
                <w:b w:val="false"/>
                <w:bCs w:val="false"/>
                <w:color w:val="000000"/>
                <w:sz w:val="20"/>
                <w:szCs w:val="20"/>
              </w:rPr>
              <w:t xml:space="preserve">5. Update SSP network architecture description to reflect new egress controls.</w:t>
            </w:r>
          </w:p>
        </w:tc>
      </w:tr>
      <w:tr>
        <w:tc>
          <w:tcPr>
            <w:tcW w:type="dxa" w:w="13680"/>
            <w:gridSpan w:val="2"/>
            <w:tcBorders>
              <w:top w:val="single" w:color="D9D9D9" w:sz="4"/>
              <w:left w:val="single" w:color="D9D9D9" w:sz="4"/>
              <w:bottom w:val="single" w:color="D9D9D9" w:sz="4"/>
              <w:right w:val="single" w:color="D9D9D9" w:sz="4"/>
            </w:tcBorders>
            <w:shd w:fill="FFD966" w:val="clear"/>
            <w:tcMar>
              <w:top w:type="dxa" w:w="100"/>
              <w:left w:type="dxa" w:w="160"/>
              <w:bottom w:type="dxa" w:w="100"/>
              <w:right w:type="dxa" w:w="160"/>
            </w:tcMar>
            <w:vAlign w:val="top"/>
          </w:tcPr>
          <w:p>
            <w:pPr>
              <w:spacing w:after="60" w:before="60"/>
              <w:jc w:val="center"/>
            </w:pPr>
            <w:r>
              <w:rPr>
                <w:rFonts w:ascii="Arial" w:cs="Arial" w:eastAsia="Arial" w:hAnsi="Arial"/>
                <w:b/>
                <w:bCs/>
                <w:color w:val="1F3864"/>
                <w:sz w:val="22"/>
                <w:szCs w:val="22"/>
              </w:rPr>
              <w:t xml:space="preserve">Milestones</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1 — COMPLETED</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Security group egress rule restriction to approved destinations only</w:t>
            </w:r>
          </w:p>
          <w:p>
            <w:pPr>
              <w:spacing w:after="60" w:before="60"/>
              <w:jc w:val="left"/>
            </w:pPr>
            <w:r>
              <w:rPr>
                <w:rFonts w:ascii="Arial" w:cs="Arial" w:eastAsia="Arial" w:hAnsi="Arial"/>
                <w:b w:val="false"/>
                <w:bCs w:val="false"/>
                <w:color w:val="000000"/>
                <w:sz w:val="20"/>
                <w:szCs w:val="20"/>
              </w:rPr>
              <w:t xml:space="preserve">Completed: January 15, 2026</w:t>
            </w:r>
          </w:p>
        </w:tc>
      </w:tr>
      <w:tr>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2 — COMPLETED</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AWS Network Firewall policy development and internal review</w:t>
            </w:r>
          </w:p>
          <w:p>
            <w:pPr>
              <w:spacing w:after="60" w:before="60"/>
              <w:jc w:val="left"/>
            </w:pPr>
            <w:r>
              <w:rPr>
                <w:rFonts w:ascii="Arial" w:cs="Arial" w:eastAsia="Arial" w:hAnsi="Arial"/>
                <w:b w:val="false"/>
                <w:bCs w:val="false"/>
                <w:color w:val="000000"/>
                <w:sz w:val="20"/>
                <w:szCs w:val="20"/>
              </w:rPr>
              <w:t xml:space="preserve">Completed: February 28, 2026</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3 — IN PROGRESS</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Network Firewall staging deployment to non-production environment</w:t>
            </w:r>
          </w:p>
          <w:p>
            <w:pPr>
              <w:spacing w:after="60" w:before="60"/>
              <w:jc w:val="left"/>
            </w:pPr>
            <w:r>
              <w:rPr>
                <w:rFonts w:ascii="Arial" w:cs="Arial" w:eastAsia="Arial" w:hAnsi="Arial"/>
                <w:b w:val="false"/>
                <w:bCs w:val="false"/>
                <w:color w:val="000000"/>
                <w:sz w:val="20"/>
                <w:szCs w:val="20"/>
              </w:rPr>
              <w:t xml:space="preserve">Target: April 30, 2026</w:t>
            </w:r>
          </w:p>
        </w:tc>
      </w:tr>
      <w:tr>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4 — PENDING</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Network Firewall production deployment across all VPCs</w:t>
            </w:r>
          </w:p>
          <w:p>
            <w:pPr>
              <w:spacing w:after="60" w:before="60"/>
              <w:jc w:val="left"/>
            </w:pPr>
            <w:r>
              <w:rPr>
                <w:rFonts w:ascii="Arial" w:cs="Arial" w:eastAsia="Arial" w:hAnsi="Arial"/>
                <w:b w:val="false"/>
                <w:bCs w:val="false"/>
                <w:color w:val="000000"/>
                <w:sz w:val="20"/>
                <w:szCs w:val="20"/>
              </w:rPr>
              <w:t xml:space="preserve">Target: June 15, 2026</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5 — PENDING</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Regression penetration test validation and POA&amp;M closure</w:t>
            </w:r>
          </w:p>
          <w:p>
            <w:pPr>
              <w:spacing w:after="60" w:before="60"/>
              <w:jc w:val="left"/>
            </w:pPr>
            <w:r>
              <w:rPr>
                <w:rFonts w:ascii="Arial" w:cs="Arial" w:eastAsia="Arial" w:hAnsi="Arial"/>
                <w:b w:val="false"/>
                <w:bCs w:val="false"/>
                <w:color w:val="000000"/>
                <w:sz w:val="20"/>
                <w:szCs w:val="20"/>
              </w:rPr>
              <w:t xml:space="preserve">Target: June 30, 2026</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p>
      <w:pPr>
        <w:pStyle w:val="Heading2"/>
        <w:spacing w:after="100" w:before="200"/>
      </w:pPr>
      <w:r>
        <w:rPr>
          <w:rFonts w:ascii="Arial" w:cs="Arial" w:eastAsia="Arial" w:hAnsi="Arial"/>
          <w:b/>
          <w:bCs/>
          <w:color w:val="2E5496"/>
          <w:sz w:val="26"/>
          <w:szCs w:val="26"/>
        </w:rPr>
        <w:t xml:space="preserve">4.2 High Risk Items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0080"/>
      </w:tblGrid>
      <w:tr>
        <w:tc>
          <w:tcPr>
            <w:tcW w:type="dxa" w:w="13680"/>
            <w:gridSpan w:val="2"/>
            <w:tcBorders>
              <w:top w:val="single" w:color="1F3864" w:sz="12"/>
              <w:left w:val="single" w:color="1F3864" w:sz="12"/>
              <w:bottom w:val="single" w:color="1F3864" w:sz="12"/>
              <w:right w:val="single" w:color="1F3864" w:sz="12"/>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4"/>
                <w:szCs w:val="24"/>
              </w:rPr>
              <w:t xml:space="preserve">POA&amp;M ID: CV-FHX-POAM-2025-003</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Control(s)</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AC-2 (Account Management), AC-3 (Access Enforcement)</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Weakness Title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Stale Privileged Accounts Not Removed After Personnel Departure</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Discovery Source</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3PAO Assessment — Interview and Examination (October 2025)</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Discovery Date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October 16, 2025</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Severity</w:t>
            </w:r>
          </w:p>
        </w:tc>
        <w:tc>
          <w:tcPr>
            <w:tcW w:type="dxa" w:w="100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left"/>
            </w:pPr>
            <w:r>
              <w:rPr>
                <w:rFonts w:ascii="Arial" w:cs="Arial" w:eastAsia="Arial" w:hAnsi="Arial"/>
                <w:b/>
                <w:bCs/>
                <w:color w:val="ED7D31"/>
                <w:sz w:val="20"/>
                <w:szCs w:val="20"/>
              </w:rPr>
              <w:t xml:space="preserve">High</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CVSS Score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8.1  —  AV:N/AC:L/PR:L/UI:N/S:U/C:H/I:H/A:N</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Status</w:t>
            </w:r>
          </w:p>
        </w:tc>
        <w:tc>
          <w:tcPr>
            <w:tcW w:type="dxa" w:w="100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In Remediation — Extension Approved</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Responsible Party</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Trevor L. Abrams, Cloud Operations Lead</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ISSO Oversight</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Enechi P.C. Njeze</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Original Target Date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January 14, 2026</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Revised Target Date</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7F6000"/>
                <w:sz w:val="20"/>
                <w:szCs w:val="20"/>
              </w:rPr>
              <w:t xml:space="preserve">March 31, 2026</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Extension Approved</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Yes</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Compensating Control</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N/A</w:t>
            </w:r>
          </w:p>
        </w:tc>
      </w:tr>
      <w:tr>
        <w:tc>
          <w:tcPr>
            <w:tcW w:type="dxa" w:w="13680"/>
            <w:gridSpan w:val="2"/>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2"/>
                <w:szCs w:val="22"/>
              </w:rPr>
              <w:t xml:space="preserve">Weakness Description &amp; Corrective Action Plan</w:t>
            </w:r>
          </w:p>
        </w:tc>
      </w:tr>
      <w:tr>
        <w:tc>
          <w:tcPr>
            <w:tcW w:type="dxa" w:w="13680"/>
            <w:gridSpan w:val="2"/>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WEAKNESS: Seven privileged IAM accounts belonging to personnel who separated from FHDO between January–September 2025 were found active at time of assessment. Two accounts retained active access keys with no expiration date, violating AC-2(j) (24-hour removal requirement) and AC-2(3) (35-day inactivity disable under FedRAMP High baseline).</w:t>
            </w:r>
          </w:p>
          <w:p>
            <w:pPr>
              <w:spacing w:after="20" w:before="60"/>
              <w:jc w:val="left"/>
            </w:pPr>
            <w:r>
              <w:rPr>
                <w:rFonts w:ascii="Arial" w:cs="Arial" w:eastAsia="Arial" w:hAnsi="Arial"/>
                <w:b w:val="false"/>
                <w:bCs w:val="false"/>
                <w:color w:val="000000"/>
                <w:sz w:val="20"/>
                <w:szCs w:val="20"/>
              </w:rPr>
              <w:t xml:space="preserve"/>
            </w:r>
          </w:p>
          <w:p>
            <w:pPr>
              <w:spacing w:after="20" w:before="60"/>
              <w:jc w:val="left"/>
            </w:pPr>
            <w:r>
              <w:rPr>
                <w:rFonts w:ascii="Arial" w:cs="Arial" w:eastAsia="Arial" w:hAnsi="Arial"/>
                <w:b w:val="false"/>
                <w:bCs w:val="false"/>
                <w:color w:val="000000"/>
                <w:sz w:val="20"/>
                <w:szCs w:val="20"/>
              </w:rPr>
              <w:t xml:space="preserve">CORRECTIVE ACTION PLAN:</w:t>
            </w:r>
          </w:p>
          <w:p>
            <w:pPr>
              <w:spacing w:after="20" w:before="60"/>
              <w:jc w:val="left"/>
            </w:pPr>
            <w:r>
              <w:rPr>
                <w:rFonts w:ascii="Arial" w:cs="Arial" w:eastAsia="Arial" w:hAnsi="Arial"/>
                <w:b w:val="false"/>
                <w:bCs w:val="false"/>
                <w:color w:val="000000"/>
                <w:sz w:val="20"/>
                <w:szCs w:val="20"/>
              </w:rPr>
              <w:t xml:space="preserve">1. Immediately disable all 7 stale accounts and revoke active access keys. [Completed Oct 17, 2025]</w:t>
            </w:r>
          </w:p>
          <w:p>
            <w:pPr>
              <w:spacing w:after="20" w:before="60"/>
              <w:jc w:val="left"/>
            </w:pPr>
            <w:r>
              <w:rPr>
                <w:rFonts w:ascii="Arial" w:cs="Arial" w:eastAsia="Arial" w:hAnsi="Arial"/>
                <w:b w:val="false"/>
                <w:bCs w:val="false"/>
                <w:color w:val="000000"/>
                <w:sz w:val="20"/>
                <w:szCs w:val="20"/>
              </w:rPr>
              <w:t xml:space="preserve">2. Implement automated IAM account lifecycle management integrated with FHDO HR offboarding process.</w:t>
            </w:r>
          </w:p>
          <w:p>
            <w:pPr>
              <w:spacing w:after="20" w:before="60"/>
              <w:jc w:val="left"/>
            </w:pPr>
            <w:r>
              <w:rPr>
                <w:rFonts w:ascii="Arial" w:cs="Arial" w:eastAsia="Arial" w:hAnsi="Arial"/>
                <w:b w:val="false"/>
                <w:bCs w:val="false"/>
                <w:color w:val="000000"/>
                <w:sz w:val="20"/>
                <w:szCs w:val="20"/>
              </w:rPr>
              <w:t xml:space="preserve">3. Deploy AWS IAM Access Analyzer to continuously detect unused credentials and orphaned accounts.</w:t>
            </w:r>
          </w:p>
          <w:p>
            <w:pPr>
              <w:spacing w:after="20" w:before="60"/>
              <w:jc w:val="left"/>
            </w:pPr>
            <w:r>
              <w:rPr>
                <w:rFonts w:ascii="Arial" w:cs="Arial" w:eastAsia="Arial" w:hAnsi="Arial"/>
                <w:b w:val="false"/>
                <w:bCs w:val="false"/>
                <w:color w:val="000000"/>
                <w:sz w:val="20"/>
                <w:szCs w:val="20"/>
              </w:rPr>
              <w:t xml:space="preserve">4. Update and enforce the AC-2 account management procedure with mandatory 24-hour offboarding notification to Cloud Operations.</w:t>
            </w:r>
          </w:p>
          <w:p>
            <w:pPr>
              <w:spacing w:after="60" w:before="60"/>
              <w:jc w:val="left"/>
            </w:pPr>
            <w:r>
              <w:rPr>
                <w:rFonts w:ascii="Arial" w:cs="Arial" w:eastAsia="Arial" w:hAnsi="Arial"/>
                <w:b w:val="false"/>
                <w:bCs w:val="false"/>
                <w:color w:val="000000"/>
                <w:sz w:val="20"/>
                <w:szCs w:val="20"/>
              </w:rPr>
              <w:t xml:space="preserve">5. Conduct quarterly privileged account access reviews per AC-2(j).</w:t>
            </w:r>
          </w:p>
        </w:tc>
      </w:tr>
      <w:tr>
        <w:tc>
          <w:tcPr>
            <w:tcW w:type="dxa" w:w="13680"/>
            <w:gridSpan w:val="2"/>
            <w:tcBorders>
              <w:top w:val="single" w:color="D9D9D9" w:sz="4"/>
              <w:left w:val="single" w:color="D9D9D9" w:sz="4"/>
              <w:bottom w:val="single" w:color="D9D9D9" w:sz="4"/>
              <w:right w:val="single" w:color="D9D9D9" w:sz="4"/>
            </w:tcBorders>
            <w:shd w:fill="FFD966" w:val="clear"/>
            <w:tcMar>
              <w:top w:type="dxa" w:w="100"/>
              <w:left w:type="dxa" w:w="160"/>
              <w:bottom w:type="dxa" w:w="100"/>
              <w:right w:type="dxa" w:w="160"/>
            </w:tcMar>
            <w:vAlign w:val="top"/>
          </w:tcPr>
          <w:p>
            <w:pPr>
              <w:spacing w:after="60" w:before="60"/>
              <w:jc w:val="center"/>
            </w:pPr>
            <w:r>
              <w:rPr>
                <w:rFonts w:ascii="Arial" w:cs="Arial" w:eastAsia="Arial" w:hAnsi="Arial"/>
                <w:b/>
                <w:bCs/>
                <w:color w:val="1F3864"/>
                <w:sz w:val="22"/>
                <w:szCs w:val="22"/>
              </w:rPr>
              <w:t xml:space="preserve">Milestones</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1 — COMPLETED</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Stale account disablement and active access key revocation</w:t>
            </w:r>
          </w:p>
          <w:p>
            <w:pPr>
              <w:spacing w:after="60" w:before="60"/>
              <w:jc w:val="left"/>
            </w:pPr>
            <w:r>
              <w:rPr>
                <w:rFonts w:ascii="Arial" w:cs="Arial" w:eastAsia="Arial" w:hAnsi="Arial"/>
                <w:b w:val="false"/>
                <w:bCs w:val="false"/>
                <w:color w:val="000000"/>
                <w:sz w:val="20"/>
                <w:szCs w:val="20"/>
              </w:rPr>
              <w:t xml:space="preserve">Completed: October 17, 2025</w:t>
            </w:r>
          </w:p>
        </w:tc>
      </w:tr>
      <w:tr>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2 — COMPLETED</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AWS IAM Access Analyzer deployment for continuous orphaned account detection</w:t>
            </w:r>
          </w:p>
          <w:p>
            <w:pPr>
              <w:spacing w:after="60" w:before="60"/>
              <w:jc w:val="left"/>
            </w:pPr>
            <w:r>
              <w:rPr>
                <w:rFonts w:ascii="Arial" w:cs="Arial" w:eastAsia="Arial" w:hAnsi="Arial"/>
                <w:b w:val="false"/>
                <w:bCs w:val="false"/>
                <w:color w:val="000000"/>
                <w:sz w:val="20"/>
                <w:szCs w:val="20"/>
              </w:rPr>
              <w:t xml:space="preserve">Completed: December 10, 2025</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3 — COMPLETED</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HR-IAM integration automation for offboarding workflow</w:t>
            </w:r>
          </w:p>
          <w:p>
            <w:pPr>
              <w:spacing w:after="60" w:before="60"/>
              <w:jc w:val="left"/>
            </w:pPr>
            <w:r>
              <w:rPr>
                <w:rFonts w:ascii="Arial" w:cs="Arial" w:eastAsia="Arial" w:hAnsi="Arial"/>
                <w:b w:val="false"/>
                <w:bCs w:val="false"/>
                <w:color w:val="000000"/>
                <w:sz w:val="20"/>
                <w:szCs w:val="20"/>
              </w:rPr>
              <w:t xml:space="preserve">Completed: February 14, 2026</w:t>
            </w:r>
          </w:p>
        </w:tc>
      </w:tr>
      <w:tr>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4 — IN PROGRESS</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Updated AC-2 account management procedure — pending final approval</w:t>
            </w:r>
          </w:p>
          <w:p>
            <w:pPr>
              <w:spacing w:after="60" w:before="60"/>
              <w:jc w:val="left"/>
            </w:pPr>
            <w:r>
              <w:rPr>
                <w:rFonts w:ascii="Arial" w:cs="Arial" w:eastAsia="Arial" w:hAnsi="Arial"/>
                <w:b w:val="false"/>
                <w:bCs w:val="false"/>
                <w:color w:val="000000"/>
                <w:sz w:val="20"/>
                <w:szCs w:val="20"/>
              </w:rPr>
              <w:t xml:space="preserve">Target: March 31, 2026</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5 — PENDING</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First quarterly privileged access review per AC-2(j)</w:t>
            </w:r>
          </w:p>
          <w:p>
            <w:pPr>
              <w:spacing w:after="60" w:before="60"/>
              <w:jc w:val="left"/>
            </w:pPr>
            <w:r>
              <w:rPr>
                <w:rFonts w:ascii="Arial" w:cs="Arial" w:eastAsia="Arial" w:hAnsi="Arial"/>
                <w:b w:val="false"/>
                <w:bCs w:val="false"/>
                <w:color w:val="000000"/>
                <w:sz w:val="20"/>
                <w:szCs w:val="20"/>
              </w:rPr>
              <w:t xml:space="preserve">Target: April 30, 2026</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0080"/>
      </w:tblGrid>
      <w:tr>
        <w:tc>
          <w:tcPr>
            <w:tcW w:type="dxa" w:w="13680"/>
            <w:gridSpan w:val="2"/>
            <w:tcBorders>
              <w:top w:val="single" w:color="1F3864" w:sz="12"/>
              <w:left w:val="single" w:color="1F3864" w:sz="12"/>
              <w:bottom w:val="single" w:color="1F3864" w:sz="12"/>
              <w:right w:val="single" w:color="1F3864" w:sz="12"/>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4"/>
                <w:szCs w:val="24"/>
              </w:rPr>
              <w:t xml:space="preserve">POA&amp;M ID: CV-FHX-POAM-2025-007</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Control(s)</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IA-5 (Authenticator Management), IA-5(1) (Password-Based Authentication)</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Weakness Title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Non-Compliant Password Policy on Administrative Console</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Discovery Source</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3PAO Technical Assessment (October 2025)</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Discovery Date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October 20, 2025</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Severity</w:t>
            </w:r>
          </w:p>
        </w:tc>
        <w:tc>
          <w:tcPr>
            <w:tcW w:type="dxa" w:w="100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left"/>
            </w:pPr>
            <w:r>
              <w:rPr>
                <w:rFonts w:ascii="Arial" w:cs="Arial" w:eastAsia="Arial" w:hAnsi="Arial"/>
                <w:b/>
                <w:bCs/>
                <w:color w:val="ED7D31"/>
                <w:sz w:val="20"/>
                <w:szCs w:val="20"/>
              </w:rPr>
              <w:t xml:space="preserve">High</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CVSS Score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7.5  —  AV:N/AC:L/PR:N/UI:N/S:U/C:H/I:N/A:N</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Status</w:t>
            </w:r>
          </w:p>
        </w:tc>
        <w:tc>
          <w:tcPr>
            <w:tcW w:type="dxa" w:w="100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In Remediation — Extension Approved (MFA implementation requires vendor coordination)</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Responsible Party</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Trevor L. Abrams, Cloud Operations Lead</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ISSO Oversight</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Enechi P.C. Njeze</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Original Target Date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January 18, 2026</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Revised Target Date</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7F6000"/>
                <w:sz w:val="20"/>
                <w:szCs w:val="20"/>
              </w:rPr>
              <w:t xml:space="preserve">April 30, 2026</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Extension Approved</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Yes</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Compensating Control</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CV-FHX-CC-002 (VPN + CloudTrail/GuardDuty privileged session monitoring)</w:t>
            </w:r>
          </w:p>
        </w:tc>
      </w:tr>
      <w:tr>
        <w:tc>
          <w:tcPr>
            <w:tcW w:type="dxa" w:w="13680"/>
            <w:gridSpan w:val="2"/>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2"/>
                <w:szCs w:val="22"/>
              </w:rPr>
              <w:t xml:space="preserve">Weakness Description &amp; Corrective Action Plan</w:t>
            </w:r>
          </w:p>
        </w:tc>
      </w:tr>
      <w:tr>
        <w:tc>
          <w:tcPr>
            <w:tcW w:type="dxa" w:w="13680"/>
            <w:gridSpan w:val="2"/>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WEAKNESS: The administrative console enforced an 8-character minimum password policy with no complexity requirements and no prohibition on previously used passwords. FedRAMP High baseline IA-5(1) requires: 15-character minimum, 24-password history restriction, and mandatory password change upon initial login. Non-compliant policy was applied to 23 administrative accounts.</w:t>
            </w:r>
          </w:p>
          <w:p>
            <w:pPr>
              <w:spacing w:after="20" w:before="60"/>
              <w:jc w:val="left"/>
            </w:pPr>
            <w:r>
              <w:rPr>
                <w:rFonts w:ascii="Arial" w:cs="Arial" w:eastAsia="Arial" w:hAnsi="Arial"/>
                <w:b w:val="false"/>
                <w:bCs w:val="false"/>
                <w:color w:val="000000"/>
                <w:sz w:val="20"/>
                <w:szCs w:val="20"/>
              </w:rPr>
              <w:t xml:space="preserve"/>
            </w:r>
          </w:p>
          <w:p>
            <w:pPr>
              <w:spacing w:after="20" w:before="60"/>
              <w:jc w:val="left"/>
            </w:pPr>
            <w:r>
              <w:rPr>
                <w:rFonts w:ascii="Arial" w:cs="Arial" w:eastAsia="Arial" w:hAnsi="Arial"/>
                <w:b w:val="false"/>
                <w:bCs w:val="false"/>
                <w:color w:val="000000"/>
                <w:sz w:val="20"/>
                <w:szCs w:val="20"/>
              </w:rPr>
              <w:t xml:space="preserve">CORRECTIVE ACTION PLAN:</w:t>
            </w:r>
          </w:p>
          <w:p>
            <w:pPr>
              <w:spacing w:after="20" w:before="60"/>
              <w:jc w:val="left"/>
            </w:pPr>
            <w:r>
              <w:rPr>
                <w:rFonts w:ascii="Arial" w:cs="Arial" w:eastAsia="Arial" w:hAnsi="Arial"/>
                <w:b w:val="false"/>
                <w:bCs w:val="false"/>
                <w:color w:val="000000"/>
                <w:sz w:val="20"/>
                <w:szCs w:val="20"/>
              </w:rPr>
              <w:t xml:space="preserve">1. Update administrative console password policy to 15-character minimum with complexity enforcement.</w:t>
            </w:r>
          </w:p>
          <w:p>
            <w:pPr>
              <w:spacing w:after="20" w:before="60"/>
              <w:jc w:val="left"/>
            </w:pPr>
            <w:r>
              <w:rPr>
                <w:rFonts w:ascii="Arial" w:cs="Arial" w:eastAsia="Arial" w:hAnsi="Arial"/>
                <w:b w:val="false"/>
                <w:bCs w:val="false"/>
                <w:color w:val="000000"/>
                <w:sz w:val="20"/>
                <w:szCs w:val="20"/>
              </w:rPr>
              <w:t xml:space="preserve">2. Implement 24-password history restriction.</w:t>
            </w:r>
          </w:p>
          <w:p>
            <w:pPr>
              <w:spacing w:after="20" w:before="60"/>
              <w:jc w:val="left"/>
            </w:pPr>
            <w:r>
              <w:rPr>
                <w:rFonts w:ascii="Arial" w:cs="Arial" w:eastAsia="Arial" w:hAnsi="Arial"/>
                <w:b w:val="false"/>
                <w:bCs w:val="false"/>
                <w:color w:val="000000"/>
                <w:sz w:val="20"/>
                <w:szCs w:val="20"/>
              </w:rPr>
              <w:t xml:space="preserve">3. Force password resets for all 23 affected administrative accounts.</w:t>
            </w:r>
          </w:p>
          <w:p>
            <w:pPr>
              <w:spacing w:after="20" w:before="60"/>
              <w:jc w:val="left"/>
            </w:pPr>
            <w:r>
              <w:rPr>
                <w:rFonts w:ascii="Arial" w:cs="Arial" w:eastAsia="Arial" w:hAnsi="Arial"/>
                <w:b w:val="false"/>
                <w:bCs w:val="false"/>
                <w:color w:val="000000"/>
                <w:sz w:val="20"/>
                <w:szCs w:val="20"/>
              </w:rPr>
              <w:t xml:space="preserve">4. Evaluate and implement FIDO2 phishing-resistant MFA for all privileged accounts per OMB M-22-09.</w:t>
            </w:r>
          </w:p>
          <w:p>
            <w:pPr>
              <w:spacing w:after="60" w:before="60"/>
              <w:jc w:val="left"/>
            </w:pPr>
            <w:r>
              <w:rPr>
                <w:rFonts w:ascii="Arial" w:cs="Arial" w:eastAsia="Arial" w:hAnsi="Arial"/>
                <w:b w:val="false"/>
                <w:bCs w:val="false"/>
                <w:color w:val="000000"/>
                <w:sz w:val="20"/>
                <w:szCs w:val="20"/>
              </w:rPr>
              <w:t xml:space="preserve">5. Document updated IA-5 authenticator management procedures.</w:t>
            </w:r>
          </w:p>
        </w:tc>
      </w:tr>
      <w:tr>
        <w:tc>
          <w:tcPr>
            <w:tcW w:type="dxa" w:w="13680"/>
            <w:gridSpan w:val="2"/>
            <w:tcBorders>
              <w:top w:val="single" w:color="D9D9D9" w:sz="4"/>
              <w:left w:val="single" w:color="D9D9D9" w:sz="4"/>
              <w:bottom w:val="single" w:color="D9D9D9" w:sz="4"/>
              <w:right w:val="single" w:color="D9D9D9" w:sz="4"/>
            </w:tcBorders>
            <w:shd w:fill="FFD966" w:val="clear"/>
            <w:tcMar>
              <w:top w:type="dxa" w:w="100"/>
              <w:left w:type="dxa" w:w="160"/>
              <w:bottom w:type="dxa" w:w="100"/>
              <w:right w:type="dxa" w:w="160"/>
            </w:tcMar>
            <w:vAlign w:val="top"/>
          </w:tcPr>
          <w:p>
            <w:pPr>
              <w:spacing w:after="60" w:before="60"/>
              <w:jc w:val="center"/>
            </w:pPr>
            <w:r>
              <w:rPr>
                <w:rFonts w:ascii="Arial" w:cs="Arial" w:eastAsia="Arial" w:hAnsi="Arial"/>
                <w:b/>
                <w:bCs/>
                <w:color w:val="1F3864"/>
                <w:sz w:val="22"/>
                <w:szCs w:val="22"/>
              </w:rPr>
              <w:t xml:space="preserve">Milestones</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1 — COMPLETED</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Password policy update to 15-char minimum and forced resets for 23 admin accounts</w:t>
            </w:r>
          </w:p>
          <w:p>
            <w:pPr>
              <w:spacing w:after="60" w:before="60"/>
              <w:jc w:val="left"/>
            </w:pPr>
            <w:r>
              <w:rPr>
                <w:rFonts w:ascii="Arial" w:cs="Arial" w:eastAsia="Arial" w:hAnsi="Arial"/>
                <w:b w:val="false"/>
                <w:bCs w:val="false"/>
                <w:color w:val="000000"/>
                <w:sz w:val="20"/>
                <w:szCs w:val="20"/>
              </w:rPr>
              <w:t xml:space="preserve">Completed: January 30, 2026</w:t>
            </w:r>
          </w:p>
        </w:tc>
      </w:tr>
      <w:tr>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2 — COMPLETED</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FIDO2 MFA vendor selection and procurement initiation</w:t>
            </w:r>
          </w:p>
          <w:p>
            <w:pPr>
              <w:spacing w:after="60" w:before="60"/>
              <w:jc w:val="left"/>
            </w:pPr>
            <w:r>
              <w:rPr>
                <w:rFonts w:ascii="Arial" w:cs="Arial" w:eastAsia="Arial" w:hAnsi="Arial"/>
                <w:b w:val="false"/>
                <w:bCs w:val="false"/>
                <w:color w:val="000000"/>
                <w:sz w:val="20"/>
                <w:szCs w:val="20"/>
              </w:rPr>
              <w:t xml:space="preserve">Completed: March 1, 2026</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3 — IN PROGRESS</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FIDO2 MFA pilot deployment for 5 administrative accounts</w:t>
            </w:r>
          </w:p>
          <w:p>
            <w:pPr>
              <w:spacing w:after="60" w:before="60"/>
              <w:jc w:val="left"/>
            </w:pPr>
            <w:r>
              <w:rPr>
                <w:rFonts w:ascii="Arial" w:cs="Arial" w:eastAsia="Arial" w:hAnsi="Arial"/>
                <w:b w:val="false"/>
                <w:bCs w:val="false"/>
                <w:color w:val="000000"/>
                <w:sz w:val="20"/>
                <w:szCs w:val="20"/>
              </w:rPr>
              <w:t xml:space="preserve">Target: April 15, 2026</w:t>
            </w:r>
          </w:p>
        </w:tc>
      </w:tr>
      <w:tr>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4 — PENDING</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Full FIDO2 MFA rollout to all 23 admin accounts and documentation update</w:t>
            </w:r>
          </w:p>
          <w:p>
            <w:pPr>
              <w:spacing w:after="60" w:before="60"/>
              <w:jc w:val="left"/>
            </w:pPr>
            <w:r>
              <w:rPr>
                <w:rFonts w:ascii="Arial" w:cs="Arial" w:eastAsia="Arial" w:hAnsi="Arial"/>
                <w:b w:val="false"/>
                <w:bCs w:val="false"/>
                <w:color w:val="000000"/>
                <w:sz w:val="20"/>
                <w:szCs w:val="20"/>
              </w:rPr>
              <w:t xml:space="preserve">Target: April 30, 2026</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5 — N/A</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N/A</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0080"/>
      </w:tblGrid>
      <w:tr>
        <w:tc>
          <w:tcPr>
            <w:tcW w:type="dxa" w:w="13680"/>
            <w:gridSpan w:val="2"/>
            <w:tcBorders>
              <w:top w:val="single" w:color="1F3864" w:sz="12"/>
              <w:left w:val="single" w:color="1F3864" w:sz="12"/>
              <w:bottom w:val="single" w:color="1F3864" w:sz="12"/>
              <w:right w:val="single" w:color="1F3864" w:sz="12"/>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4"/>
                <w:szCs w:val="24"/>
              </w:rPr>
              <w:t xml:space="preserve">POA&amp;M ID: CV-FHX-POAM-2026-001</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Control(s)</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SI-2 (Flaw Remediation), CM-8 (System Component Inventory)</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Weakness Title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Critical CVE Unpatched on Three Application Tier Instances</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Discovery Source</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Monthly Vulnerability Scan (February 2026)</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Discovery Date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February 5, 2026</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Severity</w:t>
            </w:r>
          </w:p>
        </w:tc>
        <w:tc>
          <w:tcPr>
            <w:tcW w:type="dxa" w:w="100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left"/>
            </w:pPr>
            <w:r>
              <w:rPr>
                <w:rFonts w:ascii="Arial" w:cs="Arial" w:eastAsia="Arial" w:hAnsi="Arial"/>
                <w:b/>
                <w:bCs/>
                <w:color w:val="ED7D31"/>
                <w:sz w:val="20"/>
                <w:szCs w:val="20"/>
              </w:rPr>
              <w:t xml:space="preserve">High</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CVSS Score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8.8  —  AV:N/AC:L/PR:L/UI:N/S:U/C:H/I:H/A:H</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Status</w:t>
            </w:r>
          </w:p>
        </w:tc>
        <w:tc>
          <w:tcPr>
            <w:tcW w:type="dxa" w:w="100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2E5496"/>
                <w:sz w:val="20"/>
                <w:szCs w:val="20"/>
              </w:rPr>
              <w:t xml:space="preserve">Open — New This Reporting Period (Actively Being Remediated)</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Responsible Party</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Trevor L. Abrams, Cloud Operations Lead</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ISSO Oversight</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Enechi P.C. Njeze</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Original Target Date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March 14, 2026</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Revised Target Date</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7F6000"/>
                <w:sz w:val="20"/>
                <w:szCs w:val="20"/>
              </w:rPr>
              <w:t xml:space="preserve">April 14, 2026</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Extension Approved</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No</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Compensating Control</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CV-FHX-CC-003 (Affected instances placed in restricted security group — no inbound internet access)</w:t>
            </w:r>
          </w:p>
        </w:tc>
      </w:tr>
      <w:tr>
        <w:tc>
          <w:tcPr>
            <w:tcW w:type="dxa" w:w="13680"/>
            <w:gridSpan w:val="2"/>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2"/>
                <w:szCs w:val="22"/>
              </w:rPr>
              <w:t xml:space="preserve">Weakness Description &amp; Corrective Action Plan</w:t>
            </w:r>
          </w:p>
        </w:tc>
      </w:tr>
      <w:tr>
        <w:tc>
          <w:tcPr>
            <w:tcW w:type="dxa" w:w="13680"/>
            <w:gridSpan w:val="2"/>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WEAKNESS: CVE-2026-11842 (CVSS 8.8 — Remote Code Execution via Java deserialization vulnerability) identified as unpatched on three EC2 application tier instances (i-0a1b2c3d4e, i-0f5a6b7c8d, i-0e9f1a2b3c). Vendor patch was released January 28, 2026. The 30-day patching SLA defined in the CloudVault FHX SI-2 implementation requires remediation by February 28, 2026 for High severity vulnerabilities. The three instances were missed during the February patch cycle due to a gap in the patch management automation workflow.</w:t>
            </w:r>
          </w:p>
          <w:p>
            <w:pPr>
              <w:spacing w:after="20" w:before="60"/>
              <w:jc w:val="left"/>
            </w:pPr>
            <w:r>
              <w:rPr>
                <w:rFonts w:ascii="Arial" w:cs="Arial" w:eastAsia="Arial" w:hAnsi="Arial"/>
                <w:b w:val="false"/>
                <w:bCs w:val="false"/>
                <w:color w:val="000000"/>
                <w:sz w:val="20"/>
                <w:szCs w:val="20"/>
              </w:rPr>
              <w:t xml:space="preserve"/>
            </w:r>
          </w:p>
          <w:p>
            <w:pPr>
              <w:spacing w:after="20" w:before="60"/>
              <w:jc w:val="left"/>
            </w:pPr>
            <w:r>
              <w:rPr>
                <w:rFonts w:ascii="Arial" w:cs="Arial" w:eastAsia="Arial" w:hAnsi="Arial"/>
                <w:b w:val="false"/>
                <w:bCs w:val="false"/>
                <w:color w:val="000000"/>
                <w:sz w:val="20"/>
                <w:szCs w:val="20"/>
              </w:rPr>
              <w:t xml:space="preserve">CORRECTIVE ACTION PLAN:</w:t>
            </w:r>
          </w:p>
          <w:p>
            <w:pPr>
              <w:spacing w:after="20" w:before="60"/>
              <w:jc w:val="left"/>
            </w:pPr>
            <w:r>
              <w:rPr>
                <w:rFonts w:ascii="Arial" w:cs="Arial" w:eastAsia="Arial" w:hAnsi="Arial"/>
                <w:b w:val="false"/>
                <w:bCs w:val="false"/>
                <w:color w:val="000000"/>
                <w:sz w:val="20"/>
                <w:szCs w:val="20"/>
              </w:rPr>
              <w:t xml:space="preserve">1. Apply CVE-2026-11842 patch to all three affected instances within 5 business days of POA&amp;M opening.</w:t>
            </w:r>
          </w:p>
          <w:p>
            <w:pPr>
              <w:spacing w:after="20" w:before="60"/>
              <w:jc w:val="left"/>
            </w:pPr>
            <w:r>
              <w:rPr>
                <w:rFonts w:ascii="Arial" w:cs="Arial" w:eastAsia="Arial" w:hAnsi="Arial"/>
                <w:b w:val="false"/>
                <w:bCs w:val="false"/>
                <w:color w:val="000000"/>
                <w:sz w:val="20"/>
                <w:szCs w:val="20"/>
              </w:rPr>
              <w:t xml:space="preserve">2. Verify patch application through authenticated re-scan of all three instances.</w:t>
            </w:r>
          </w:p>
          <w:p>
            <w:pPr>
              <w:spacing w:after="20" w:before="60"/>
              <w:jc w:val="left"/>
            </w:pPr>
            <w:r>
              <w:rPr>
                <w:rFonts w:ascii="Arial" w:cs="Arial" w:eastAsia="Arial" w:hAnsi="Arial"/>
                <w:b w:val="false"/>
                <w:bCs w:val="false"/>
                <w:color w:val="000000"/>
                <w:sz w:val="20"/>
                <w:szCs w:val="20"/>
              </w:rPr>
              <w:t xml:space="preserve">3. Identify and remediate the patch management automation gap that caused the missed instances.</w:t>
            </w:r>
          </w:p>
          <w:p>
            <w:pPr>
              <w:spacing w:after="20" w:before="60"/>
              <w:jc w:val="left"/>
            </w:pPr>
            <w:r>
              <w:rPr>
                <w:rFonts w:ascii="Arial" w:cs="Arial" w:eastAsia="Arial" w:hAnsi="Arial"/>
                <w:b w:val="false"/>
                <w:bCs w:val="false"/>
                <w:color w:val="000000"/>
                <w:sz w:val="20"/>
                <w:szCs w:val="20"/>
              </w:rPr>
              <w:t xml:space="preserve">4. Conduct unscheduled full-environment patch compliance scan to identify any other missed instances.</w:t>
            </w:r>
          </w:p>
          <w:p>
            <w:pPr>
              <w:spacing w:after="60" w:before="60"/>
              <w:jc w:val="left"/>
            </w:pPr>
            <w:r>
              <w:rPr>
                <w:rFonts w:ascii="Arial" w:cs="Arial" w:eastAsia="Arial" w:hAnsi="Arial"/>
                <w:b w:val="false"/>
                <w:bCs w:val="false"/>
                <w:color w:val="000000"/>
                <w:sz w:val="20"/>
                <w:szCs w:val="20"/>
              </w:rPr>
              <w:t xml:space="preserve">5. Update the SI-2 patch management procedure to include automated inventory reconciliation before each patch cycle closes.</w:t>
            </w:r>
          </w:p>
        </w:tc>
      </w:tr>
      <w:tr>
        <w:tc>
          <w:tcPr>
            <w:tcW w:type="dxa" w:w="13680"/>
            <w:gridSpan w:val="2"/>
            <w:tcBorders>
              <w:top w:val="single" w:color="D9D9D9" w:sz="4"/>
              <w:left w:val="single" w:color="D9D9D9" w:sz="4"/>
              <w:bottom w:val="single" w:color="D9D9D9" w:sz="4"/>
              <w:right w:val="single" w:color="D9D9D9" w:sz="4"/>
            </w:tcBorders>
            <w:shd w:fill="FFD966" w:val="clear"/>
            <w:tcMar>
              <w:top w:type="dxa" w:w="100"/>
              <w:left w:type="dxa" w:w="160"/>
              <w:bottom w:type="dxa" w:w="100"/>
              <w:right w:type="dxa" w:w="160"/>
            </w:tcMar>
            <w:vAlign w:val="top"/>
          </w:tcPr>
          <w:p>
            <w:pPr>
              <w:spacing w:after="60" w:before="60"/>
              <w:jc w:val="center"/>
            </w:pPr>
            <w:r>
              <w:rPr>
                <w:rFonts w:ascii="Arial" w:cs="Arial" w:eastAsia="Arial" w:hAnsi="Arial"/>
                <w:b/>
                <w:bCs/>
                <w:color w:val="1F3864"/>
                <w:sz w:val="22"/>
                <w:szCs w:val="22"/>
              </w:rPr>
              <w:t xml:space="preserve">Milestones</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1 — IN PROGRESS</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Emergency patch application to all three affected EC2 instances</w:t>
            </w:r>
          </w:p>
          <w:p>
            <w:pPr>
              <w:spacing w:after="60" w:before="60"/>
              <w:jc w:val="left"/>
            </w:pPr>
            <w:r>
              <w:rPr>
                <w:rFonts w:ascii="Arial" w:cs="Arial" w:eastAsia="Arial" w:hAnsi="Arial"/>
                <w:b w:val="false"/>
                <w:bCs w:val="false"/>
                <w:color w:val="000000"/>
                <w:sz w:val="20"/>
                <w:szCs w:val="20"/>
              </w:rPr>
              <w:t xml:space="preserve">Target: March 7, 2026</w:t>
            </w:r>
          </w:p>
        </w:tc>
      </w:tr>
      <w:tr>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2 — PENDING</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Authenticated verification re-scan of all three instances</w:t>
            </w:r>
          </w:p>
          <w:p>
            <w:pPr>
              <w:spacing w:after="60" w:before="60"/>
              <w:jc w:val="left"/>
            </w:pPr>
            <w:r>
              <w:rPr>
                <w:rFonts w:ascii="Arial" w:cs="Arial" w:eastAsia="Arial" w:hAnsi="Arial"/>
                <w:b w:val="false"/>
                <w:bCs w:val="false"/>
                <w:color w:val="000000"/>
                <w:sz w:val="20"/>
                <w:szCs w:val="20"/>
              </w:rPr>
              <w:t xml:space="preserve">Target: March 10, 2026</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3 — PENDING</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Patch automation gap analysis and technical remediation</w:t>
            </w:r>
          </w:p>
          <w:p>
            <w:pPr>
              <w:spacing w:after="60" w:before="60"/>
              <w:jc w:val="left"/>
            </w:pPr>
            <w:r>
              <w:rPr>
                <w:rFonts w:ascii="Arial" w:cs="Arial" w:eastAsia="Arial" w:hAnsi="Arial"/>
                <w:b w:val="false"/>
                <w:bCs w:val="false"/>
                <w:color w:val="000000"/>
                <w:sz w:val="20"/>
                <w:szCs w:val="20"/>
              </w:rPr>
              <w:t xml:space="preserve">Target: March 28, 2026</w:t>
            </w:r>
          </w:p>
        </w:tc>
      </w:tr>
      <w:tr>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4 — PENDING</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Full-environment unscheduled patch compliance scan</w:t>
            </w:r>
          </w:p>
          <w:p>
            <w:pPr>
              <w:spacing w:after="60" w:before="60"/>
              <w:jc w:val="left"/>
            </w:pPr>
            <w:r>
              <w:rPr>
                <w:rFonts w:ascii="Arial" w:cs="Arial" w:eastAsia="Arial" w:hAnsi="Arial"/>
                <w:b w:val="false"/>
                <w:bCs w:val="false"/>
                <w:color w:val="000000"/>
                <w:sz w:val="20"/>
                <w:szCs w:val="20"/>
              </w:rPr>
              <w:t xml:space="preserve">Target: March 31, 2026</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20"/>
                <w:szCs w:val="20"/>
              </w:rPr>
              <w:t xml:space="preserve">Milestone 5 — PENDING</w:t>
            </w:r>
          </w:p>
        </w:tc>
        <w:tc>
          <w:tcPr>
            <w:tcW w:type="dxa" w:w="1008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20"/>
                <w:szCs w:val="20"/>
              </w:rPr>
              <w:t xml:space="preserve">Updated SI-2 patch management procedure approval</w:t>
            </w:r>
          </w:p>
          <w:p>
            <w:pPr>
              <w:spacing w:after="60" w:before="60"/>
              <w:jc w:val="left"/>
            </w:pPr>
            <w:r>
              <w:rPr>
                <w:rFonts w:ascii="Arial" w:cs="Arial" w:eastAsia="Arial" w:hAnsi="Arial"/>
                <w:b w:val="false"/>
                <w:bCs w:val="false"/>
                <w:color w:val="000000"/>
                <w:sz w:val="20"/>
                <w:szCs w:val="20"/>
              </w:rPr>
              <w:t xml:space="preserve">Target: April 14, 2026</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p>
      <w:r>
        <w:br/>
      </w:r>
    </w:p>
    <w:p>
      <w:pPr>
        <w:pStyle w:val="Heading2"/>
        <w:spacing w:after="100" w:before="200"/>
      </w:pPr>
      <w:r>
        <w:rPr>
          <w:rFonts w:ascii="Arial" w:cs="Arial" w:eastAsia="Arial" w:hAnsi="Arial"/>
          <w:b/>
          <w:bCs/>
          <w:color w:val="2E5496"/>
          <w:sz w:val="26"/>
          <w:szCs w:val="26"/>
        </w:rPr>
        <w:t xml:space="preserve">4.3 Moderate Risk Items — Summary View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4920"/>
        <w:gridCol w:w="1560"/>
        <w:gridCol w:w="1440"/>
      </w:tblGrid>
      <w:tr>
        <w:tc>
          <w:tcPr>
            <w:tcW w:type="dxa" w:w="360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POA&amp;M ID</w:t>
            </w:r>
          </w:p>
        </w:tc>
        <w:tc>
          <w:tcPr>
            <w:tcW w:type="dxa" w:w="216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Control(s)</w:t>
            </w:r>
          </w:p>
        </w:tc>
        <w:tc>
          <w:tcPr>
            <w:tcW w:type="dxa" w:w="492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Weakness Title</w:t>
            </w:r>
          </w:p>
        </w:tc>
        <w:tc>
          <w:tcPr>
            <w:tcW w:type="dxa" w:w="156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Target Date</w:t>
            </w:r>
          </w:p>
        </w:tc>
        <w:tc>
          <w:tcPr>
            <w:tcW w:type="dxa" w:w="144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Status</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18"/>
                <w:szCs w:val="18"/>
              </w:rPr>
              <w:t xml:space="preserve">CV-FHX-POAM-2025-004</w:t>
            </w:r>
          </w:p>
        </w:tc>
        <w:tc>
          <w:tcPr>
            <w:tcW w:type="dxa" w:w="21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AU-9, AU-11</w:t>
            </w:r>
          </w:p>
        </w:tc>
        <w:tc>
          <w:tcPr>
            <w:tcW w:type="dxa" w:w="492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Audit log retention not meeting 12-month online requirement</w:t>
            </w:r>
          </w:p>
        </w:tc>
        <w:tc>
          <w:tcPr>
            <w:tcW w:type="dxa" w:w="15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Apr 30, 2026</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18"/>
                <w:szCs w:val="18"/>
              </w:rPr>
              <w:t xml:space="preserve">In Remediation</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18"/>
                <w:szCs w:val="18"/>
              </w:rPr>
              <w:t xml:space="preserve">CV-FHX-POAM-2025-008</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SC-8, SC-8(1)</w:t>
            </w:r>
          </w:p>
        </w:tc>
        <w:tc>
          <w:tcPr>
            <w:tcW w:type="dxa" w:w="492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TLS 1.0 and 1.1 not disabled on two legacy API endpoints</w:t>
            </w:r>
          </w:p>
        </w:tc>
        <w:tc>
          <w:tcPr>
            <w:tcW w:type="dxa" w:w="15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Apr 15, 2026</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18"/>
                <w:szCs w:val="18"/>
              </w:rPr>
              <w:t xml:space="preserve">In Remediation</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18"/>
                <w:szCs w:val="18"/>
              </w:rPr>
              <w:t xml:space="preserve">CV-FHX-POAM-2025-010</w:t>
            </w:r>
          </w:p>
        </w:tc>
        <w:tc>
          <w:tcPr>
            <w:tcW w:type="dxa" w:w="21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CM-2, CM-3</w:t>
            </w:r>
          </w:p>
        </w:tc>
        <w:tc>
          <w:tcPr>
            <w:tcW w:type="dxa" w:w="492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Configuration baseline documentation not updated after last infrastructure change</w:t>
            </w:r>
          </w:p>
        </w:tc>
        <w:tc>
          <w:tcPr>
            <w:tcW w:type="dxa" w:w="15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Mar 31, 2026</w:t>
            </w:r>
          </w:p>
        </w:tc>
        <w:tc>
          <w:tcPr>
            <w:tcW w:type="dxa" w:w="144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bCs/>
                <w:color w:val="C00000"/>
                <w:sz w:val="18"/>
                <w:szCs w:val="18"/>
              </w:rPr>
              <w:t xml:space="preserve">OVERDUE — AO Notified Mar 3, 2026</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18"/>
                <w:szCs w:val="18"/>
              </w:rPr>
              <w:t xml:space="preserve">CV-FHX-POAM-2025-014</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AC-17, AC-17(1)</w:t>
            </w:r>
          </w:p>
        </w:tc>
        <w:tc>
          <w:tcPr>
            <w:tcW w:type="dxa" w:w="492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Remote access session timeout set to 4 hours (FedRAMP High requires 30 minutes)</w:t>
            </w:r>
          </w:p>
        </w:tc>
        <w:tc>
          <w:tcPr>
            <w:tcW w:type="dxa" w:w="15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Apr 30, 2026</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18"/>
                <w:szCs w:val="18"/>
              </w:rPr>
              <w:t xml:space="preserve">In Remediation</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18"/>
                <w:szCs w:val="18"/>
              </w:rPr>
              <w:t xml:space="preserve">CV-FHX-POAM-2026-002</w:t>
            </w:r>
          </w:p>
        </w:tc>
        <w:tc>
          <w:tcPr>
            <w:tcW w:type="dxa" w:w="21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AU-2, AU-12</w:t>
            </w:r>
          </w:p>
        </w:tc>
        <w:tc>
          <w:tcPr>
            <w:tcW w:type="dxa" w:w="492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Three event categories missing from audit logging configuration</w:t>
            </w:r>
          </w:p>
        </w:tc>
        <w:tc>
          <w:tcPr>
            <w:tcW w:type="dxa" w:w="15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May 15, 2026</w:t>
            </w:r>
          </w:p>
        </w:tc>
        <w:tc>
          <w:tcPr>
            <w:tcW w:type="dxa" w:w="144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center"/>
            </w:pPr>
            <w:r>
              <w:rPr>
                <w:rFonts w:ascii="Arial" w:cs="Arial" w:eastAsia="Arial" w:hAnsi="Arial"/>
                <w:b/>
                <w:bCs/>
                <w:color w:val="2E5496"/>
                <w:sz w:val="18"/>
                <w:szCs w:val="18"/>
              </w:rPr>
              <w:t xml:space="preserve">Open — New This Period</w:t>
            </w:r>
          </w:p>
        </w:tc>
      </w:tr>
      <w:tr>
        <w:tc>
          <w:tcPr>
            <w:tcW w:type="dxa" w:w="360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left"/>
            </w:pPr>
            <w:r>
              <w:rPr>
                <w:rFonts w:ascii="Arial" w:cs="Arial" w:eastAsia="Arial" w:hAnsi="Arial"/>
                <w:b/>
                <w:bCs/>
                <w:color w:val="7F6000"/>
                <w:sz w:val="18"/>
                <w:szCs w:val="18"/>
              </w:rPr>
              <w:t xml:space="preserve">CV-FHX-POAM-2025-019</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AC-6, AC-6(5)</w:t>
            </w:r>
          </w:p>
        </w:tc>
        <w:tc>
          <w:tcPr>
            <w:tcW w:type="dxa" w:w="492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Four service accounts have excessive privilege beyond least-privilege baseline</w:t>
            </w:r>
          </w:p>
        </w:tc>
        <w:tc>
          <w:tcPr>
            <w:tcW w:type="dxa" w:w="15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May 31, 2026</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18"/>
                <w:szCs w:val="18"/>
              </w:rPr>
              <w:t xml:space="preserve">In Remediation</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p>
      <w:pPr>
        <w:pStyle w:val="Heading2"/>
        <w:spacing w:after="100" w:before="200"/>
      </w:pPr>
      <w:r>
        <w:rPr>
          <w:rFonts w:ascii="Arial" w:cs="Arial" w:eastAsia="Arial" w:hAnsi="Arial"/>
          <w:b/>
          <w:bCs/>
          <w:color w:val="2E5496"/>
          <w:sz w:val="26"/>
          <w:szCs w:val="26"/>
        </w:rPr>
        <w:t xml:space="preserve">4.4 Low Risk Items — Summary View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5640"/>
        <w:gridCol w:w="1560"/>
        <w:gridCol w:w="1440"/>
      </w:tblGrid>
      <w:tr>
        <w:tc>
          <w:tcPr>
            <w:tcW w:type="dxa" w:w="360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POA&amp;M ID</w:t>
            </w:r>
          </w:p>
        </w:tc>
        <w:tc>
          <w:tcPr>
            <w:tcW w:type="dxa" w:w="144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Control</w:t>
            </w:r>
          </w:p>
        </w:tc>
        <w:tc>
          <w:tcPr>
            <w:tcW w:type="dxa" w:w="564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Weakness Title</w:t>
            </w:r>
          </w:p>
        </w:tc>
        <w:tc>
          <w:tcPr>
            <w:tcW w:type="dxa" w:w="156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Target Date</w:t>
            </w:r>
          </w:p>
        </w:tc>
        <w:tc>
          <w:tcPr>
            <w:tcW w:type="dxa" w:w="144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Status</w:t>
            </w:r>
          </w:p>
        </w:tc>
      </w:tr>
      <w:tr>
        <w:tc>
          <w:tcPr>
            <w:tcW w:type="dxa" w:w="360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bCs/>
                <w:color w:val="375623"/>
                <w:sz w:val="18"/>
                <w:szCs w:val="18"/>
              </w:rPr>
              <w:t xml:space="preserve">CV-FHX-POAM-2025-011</w:t>
            </w:r>
          </w:p>
        </w:tc>
        <w:tc>
          <w:tcPr>
            <w:tcW w:type="dxa" w:w="14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PL-4</w:t>
            </w:r>
          </w:p>
        </w:tc>
        <w:tc>
          <w:tcPr>
            <w:tcW w:type="dxa" w:w="56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Rules of behavior acknowledgment not documented for two new contractors</w:t>
            </w:r>
          </w:p>
        </w:tc>
        <w:tc>
          <w:tcPr>
            <w:tcW w:type="dxa" w:w="15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Apr 30, 2026</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18"/>
                <w:szCs w:val="18"/>
              </w:rPr>
              <w:t xml:space="preserve">In Remediation</w:t>
            </w:r>
          </w:p>
        </w:tc>
      </w:tr>
      <w:tr>
        <w:tc>
          <w:tcPr>
            <w:tcW w:type="dxa" w:w="360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bCs/>
                <w:color w:val="375623"/>
                <w:sz w:val="18"/>
                <w:szCs w:val="18"/>
              </w:rPr>
              <w:t xml:space="preserve">CV-FHX-POAM-2025-015</w:t>
            </w:r>
          </w:p>
        </w:tc>
        <w:tc>
          <w:tcPr>
            <w:tcW w:type="dxa" w:w="14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CP-4</w:t>
            </w:r>
          </w:p>
        </w:tc>
        <w:tc>
          <w:tcPr>
            <w:tcW w:type="dxa" w:w="56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Contingency plan test results not documented in required format</w:t>
            </w:r>
          </w:p>
        </w:tc>
        <w:tc>
          <w:tcPr>
            <w:tcW w:type="dxa" w:w="15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May 31, 2026</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18"/>
                <w:szCs w:val="18"/>
              </w:rPr>
              <w:t xml:space="preserve">In Remediation</w:t>
            </w:r>
          </w:p>
        </w:tc>
      </w:tr>
      <w:tr>
        <w:tc>
          <w:tcPr>
            <w:tcW w:type="dxa" w:w="360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bCs/>
                <w:color w:val="375623"/>
                <w:sz w:val="18"/>
                <w:szCs w:val="18"/>
              </w:rPr>
              <w:t xml:space="preserve">CV-FHX-POAM-2025-018</w:t>
            </w:r>
          </w:p>
        </w:tc>
        <w:tc>
          <w:tcPr>
            <w:tcW w:type="dxa" w:w="14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SA-22</w:t>
            </w:r>
          </w:p>
        </w:tc>
        <w:tc>
          <w:tcPr>
            <w:tcW w:type="dxa" w:w="56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One unsupported third-party library identified (vendor EOL January 2026)</w:t>
            </w:r>
          </w:p>
        </w:tc>
        <w:tc>
          <w:tcPr>
            <w:tcW w:type="dxa" w:w="15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Jun 30, 2026</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18"/>
                <w:szCs w:val="18"/>
              </w:rPr>
              <w:t xml:space="preserve">In Remediation</w:t>
            </w:r>
          </w:p>
        </w:tc>
      </w:tr>
      <w:tr>
        <w:tc>
          <w:tcPr>
            <w:tcW w:type="dxa" w:w="360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bCs/>
                <w:color w:val="375623"/>
                <w:sz w:val="18"/>
                <w:szCs w:val="18"/>
              </w:rPr>
              <w:t xml:space="preserve">CV-FHX-POAM-2025-022</w:t>
            </w:r>
          </w:p>
        </w:tc>
        <w:tc>
          <w:tcPr>
            <w:tcW w:type="dxa" w:w="14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AT-2</w:t>
            </w:r>
          </w:p>
        </w:tc>
        <w:tc>
          <w:tcPr>
            <w:tcW w:type="dxa" w:w="56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Annual security awareness training overdue for three personnel</w:t>
            </w:r>
          </w:p>
        </w:tc>
        <w:tc>
          <w:tcPr>
            <w:tcW w:type="dxa" w:w="15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Apr 15, 2026</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18"/>
                <w:szCs w:val="18"/>
              </w:rPr>
              <w:t xml:space="preserve">In Remediation</w:t>
            </w:r>
          </w:p>
        </w:tc>
      </w:tr>
    </w:tbl>
    <w:p>
      <w:r>
        <w:br/>
      </w:r>
    </w:p>
    <w:p>
      <w:pPr>
        <w:pStyle w:val="Heading1"/>
        <w:spacing w:after="140" w:before="280"/>
      </w:pPr>
      <w:r>
        <w:rPr>
          <w:rFonts w:ascii="Arial" w:cs="Arial" w:eastAsia="Arial" w:hAnsi="Arial"/>
          <w:b/>
          <w:bCs/>
          <w:color w:val="1F3864"/>
          <w:sz w:val="32"/>
          <w:szCs w:val="32"/>
        </w:rPr>
        <w:t xml:space="preserve">5. Closed POA&amp;M Items — March 2026 Reporting Period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320"/>
        <w:gridCol w:w="1440"/>
        <w:gridCol w:w="1440"/>
        <w:gridCol w:w="1800"/>
      </w:tblGrid>
      <w:tr>
        <w:tc>
          <w:tcPr>
            <w:tcW w:type="dxa" w:w="3240"/>
            <w:gridSpan w:val="1"/>
            <w:tcBorders>
              <w:top w:val="single" w:color="D9D9D9" w:sz="4"/>
              <w:left w:val="single" w:color="D9D9D9" w:sz="4"/>
              <w:bottom w:val="single" w:color="D9D9D9" w:sz="4"/>
              <w:right w:val="single" w:color="D9D9D9" w:sz="4"/>
            </w:tcBorders>
            <w:shd w:fill="375623"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POA&amp;M ID</w:t>
            </w:r>
          </w:p>
        </w:tc>
        <w:tc>
          <w:tcPr>
            <w:tcW w:type="dxa" w:w="1440"/>
            <w:gridSpan w:val="1"/>
            <w:tcBorders>
              <w:top w:val="single" w:color="D9D9D9" w:sz="4"/>
              <w:left w:val="single" w:color="D9D9D9" w:sz="4"/>
              <w:bottom w:val="single" w:color="D9D9D9" w:sz="4"/>
              <w:right w:val="single" w:color="D9D9D9" w:sz="4"/>
            </w:tcBorders>
            <w:shd w:fill="375623"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Control</w:t>
            </w:r>
          </w:p>
        </w:tc>
        <w:tc>
          <w:tcPr>
            <w:tcW w:type="dxa" w:w="4320"/>
            <w:gridSpan w:val="1"/>
            <w:tcBorders>
              <w:top w:val="single" w:color="D9D9D9" w:sz="4"/>
              <w:left w:val="single" w:color="D9D9D9" w:sz="4"/>
              <w:bottom w:val="single" w:color="D9D9D9" w:sz="4"/>
              <w:right w:val="single" w:color="D9D9D9" w:sz="4"/>
            </w:tcBorders>
            <w:shd w:fill="375623"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Weakness Title</w:t>
            </w:r>
          </w:p>
        </w:tc>
        <w:tc>
          <w:tcPr>
            <w:tcW w:type="dxa" w:w="1440"/>
            <w:gridSpan w:val="1"/>
            <w:tcBorders>
              <w:top w:val="single" w:color="D9D9D9" w:sz="4"/>
              <w:left w:val="single" w:color="D9D9D9" w:sz="4"/>
              <w:bottom w:val="single" w:color="D9D9D9" w:sz="4"/>
              <w:right w:val="single" w:color="D9D9D9" w:sz="4"/>
            </w:tcBorders>
            <w:shd w:fill="375623"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Severity</w:t>
            </w:r>
          </w:p>
        </w:tc>
        <w:tc>
          <w:tcPr>
            <w:tcW w:type="dxa" w:w="1440"/>
            <w:gridSpan w:val="1"/>
            <w:tcBorders>
              <w:top w:val="single" w:color="D9D9D9" w:sz="4"/>
              <w:left w:val="single" w:color="D9D9D9" w:sz="4"/>
              <w:bottom w:val="single" w:color="D9D9D9" w:sz="4"/>
              <w:right w:val="single" w:color="D9D9D9" w:sz="4"/>
            </w:tcBorders>
            <w:shd w:fill="375623"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Closure Date</w:t>
            </w:r>
          </w:p>
        </w:tc>
        <w:tc>
          <w:tcPr>
            <w:tcW w:type="dxa" w:w="1800"/>
            <w:gridSpan w:val="1"/>
            <w:tcBorders>
              <w:top w:val="single" w:color="D9D9D9" w:sz="4"/>
              <w:left w:val="single" w:color="D9D9D9" w:sz="4"/>
              <w:bottom w:val="single" w:color="D9D9D9" w:sz="4"/>
              <w:right w:val="single" w:color="D9D9D9" w:sz="4"/>
            </w:tcBorders>
            <w:shd w:fill="375623"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Closure Evidence</w:t>
            </w:r>
          </w:p>
        </w:tc>
      </w:tr>
      <w:tr>
        <w:tc>
          <w:tcPr>
            <w:tcW w:type="dxa" w:w="32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bCs/>
                <w:color w:val="375623"/>
                <w:sz w:val="18"/>
                <w:szCs w:val="18"/>
              </w:rPr>
              <w:t xml:space="preserve">CV-FHX-POAM-2025-002</w:t>
            </w:r>
          </w:p>
        </w:tc>
        <w:tc>
          <w:tcPr>
            <w:tcW w:type="dxa" w:w="14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AC-11</w:t>
            </w:r>
          </w:p>
        </w:tc>
        <w:tc>
          <w:tcPr>
            <w:tcW w:type="dxa" w:w="432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Session lock not enforcing after 15-minute inactivity</w:t>
            </w:r>
          </w:p>
        </w:tc>
        <w:tc>
          <w:tcPr>
            <w:tcW w:type="dxa" w:w="144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High</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Mar 5, 2026</w:t>
            </w:r>
          </w:p>
        </w:tc>
        <w:tc>
          <w:tcPr>
            <w:tcW w:type="dxa" w:w="18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18"/>
                <w:szCs w:val="18"/>
              </w:rPr>
              <w:t xml:space="preserve">Session policy screenshot; 3PAO verification email dated March 7, 2026</w:t>
            </w:r>
          </w:p>
        </w:tc>
      </w:tr>
      <w:tr>
        <w:tc>
          <w:tcPr>
            <w:tcW w:type="dxa" w:w="32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bCs/>
                <w:color w:val="375623"/>
                <w:sz w:val="18"/>
                <w:szCs w:val="18"/>
              </w:rPr>
              <w:t xml:space="preserve">CV-FHX-POAM-2025-005</w:t>
            </w:r>
          </w:p>
        </w:tc>
        <w:tc>
          <w:tcPr>
            <w:tcW w:type="dxa" w:w="14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IA-2(1)</w:t>
            </w:r>
          </w:p>
        </w:tc>
        <w:tc>
          <w:tcPr>
            <w:tcW w:type="dxa" w:w="432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MFA not enforced for privileged access to one subsystem</w:t>
            </w:r>
          </w:p>
        </w:tc>
        <w:tc>
          <w:tcPr>
            <w:tcW w:type="dxa" w:w="144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center"/>
            </w:pPr>
            <w:r>
              <w:rPr>
                <w:rFonts w:ascii="Arial" w:cs="Arial" w:eastAsia="Arial" w:hAnsi="Arial"/>
                <w:b/>
                <w:bCs/>
                <w:color w:val="ED7D31"/>
                <w:sz w:val="20"/>
                <w:szCs w:val="20"/>
              </w:rPr>
              <w:t xml:space="preserve">High</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Mar 12, 2026</w:t>
            </w:r>
          </w:p>
        </w:tc>
        <w:tc>
          <w:tcPr>
            <w:tcW w:type="dxa" w:w="18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18"/>
                <w:szCs w:val="18"/>
              </w:rPr>
              <w:t xml:space="preserve">AWS IAM MFA policy screenshot; authenticated test confirmation from DevOps Lead</w:t>
            </w:r>
          </w:p>
        </w:tc>
      </w:tr>
      <w:tr>
        <w:tc>
          <w:tcPr>
            <w:tcW w:type="dxa" w:w="32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bCs/>
                <w:color w:val="375623"/>
                <w:sz w:val="18"/>
                <w:szCs w:val="18"/>
              </w:rPr>
              <w:t xml:space="preserve">CV-FHX-POAM-2025-016</w:t>
            </w:r>
          </w:p>
        </w:tc>
        <w:tc>
          <w:tcPr>
            <w:tcW w:type="dxa" w:w="14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CM-10</w:t>
            </w:r>
          </w:p>
        </w:tc>
        <w:tc>
          <w:tcPr>
            <w:tcW w:type="dxa" w:w="432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Software license tracking spreadsheet not maintained</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Low</w:t>
            </w:r>
          </w:p>
        </w:tc>
        <w:tc>
          <w:tcPr>
            <w:tcW w:type="dxa" w:w="144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center"/>
            </w:pPr>
            <w:r>
              <w:rPr>
                <w:rFonts w:ascii="Arial" w:cs="Arial" w:eastAsia="Arial" w:hAnsi="Arial"/>
                <w:b/>
                <w:bCs/>
                <w:color w:val="375623"/>
                <w:sz w:val="20"/>
                <w:szCs w:val="20"/>
              </w:rPr>
              <w:t xml:space="preserve">Mar 20, 2026</w:t>
            </w:r>
          </w:p>
        </w:tc>
        <w:tc>
          <w:tcPr>
            <w:tcW w:type="dxa" w:w="18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18"/>
                <w:szCs w:val="18"/>
              </w:rPr>
              <w:t xml:space="preserve">Updated license inventory workbook v2.0; approved by Cloud Operations Lead</w:t>
            </w:r>
          </w:p>
        </w:tc>
      </w:tr>
    </w:tbl>
    <w:p>
      <w:pPr>
        <w:spacing w:after="0" w:before="0"/>
        <w:jc w:val="left"/>
      </w:pPr>
      <w:r>
        <w:rPr>
          <w:rFonts w:ascii="Arial" w:cs="Arial" w:eastAsia="Arial" w:hAnsi="Arial"/>
          <w:b w:val="false"/>
          <w:bCs w:val="false"/>
          <w:color w:val="000000"/>
          <w:sz w:val="10"/>
          <w:szCs w:val="10"/>
        </w:rPr>
        <w:t xml:space="preserve"/>
      </w:r>
    </w:p>
    <w:p>
      <w:pPr>
        <w:spacing w:after="60" w:before="60"/>
        <w:jc w:val="left"/>
      </w:pPr>
      <w:r>
        <w:rPr>
          <w:rFonts w:ascii="Arial" w:cs="Arial" w:eastAsia="Arial" w:hAnsi="Arial"/>
          <w:b w:val="false"/>
          <w:bCs w:val="false"/>
          <w:color w:val="000000"/>
          <w:sz w:val="20"/>
          <w:szCs w:val="20"/>
        </w:rPr>
        <w:t xml:space="preserve">March 2026 Closure Summary: 3 items closed (2 High, 1 Low). The closure of CV-FHX-POAM-2025-005 (MFA for privileged access) is a significant security improvement that eliminates a known credential-based attack path on the administrative subsystem. All closure evidence reviewed and accepted by the ISSO.</w:t>
      </w:r>
    </w:p>
    <w:p>
      <w:r>
        <w:br/>
      </w:r>
    </w:p>
    <w:p>
      <w:pPr>
        <w:pStyle w:val="Heading1"/>
        <w:spacing w:after="140" w:before="280"/>
      </w:pPr>
      <w:r>
        <w:rPr>
          <w:rFonts w:ascii="Arial" w:cs="Arial" w:eastAsia="Arial" w:hAnsi="Arial"/>
          <w:b/>
          <w:bCs/>
          <w:color w:val="1F3864"/>
          <w:sz w:val="32"/>
          <w:szCs w:val="32"/>
        </w:rPr>
        <w:t xml:space="preserve">6. Delayed and At-Risk Items</w:t>
      </w:r>
    </w:p>
    <w:p>
      <w:pPr>
        <w:pStyle w:val="Heading2"/>
        <w:spacing w:after="100" w:before="200"/>
      </w:pPr>
      <w:r>
        <w:rPr>
          <w:rFonts w:ascii="Arial" w:cs="Arial" w:eastAsia="Arial" w:hAnsi="Arial"/>
          <w:b/>
          <w:bCs/>
          <w:color w:val="2E5496"/>
          <w:sz w:val="26"/>
          <w:szCs w:val="26"/>
        </w:rPr>
        <w:t xml:space="preserve">6.1 Overdue Items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1800"/>
        <w:gridCol w:w="1440"/>
        <w:gridCol w:w="1800"/>
        <w:gridCol w:w="3240"/>
      </w:tblGrid>
      <w:tr>
        <w:tc>
          <w:tcPr>
            <w:tcW w:type="dxa" w:w="3240"/>
            <w:gridSpan w:val="1"/>
            <w:tcBorders>
              <w:top w:val="single" w:color="D9D9D9" w:sz="4"/>
              <w:left w:val="single" w:color="D9D9D9" w:sz="4"/>
              <w:bottom w:val="single" w:color="D9D9D9" w:sz="4"/>
              <w:right w:val="single" w:color="D9D9D9" w:sz="4"/>
            </w:tcBorders>
            <w:shd w:fill="C00000"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POA&amp;M ID</w:t>
            </w:r>
          </w:p>
        </w:tc>
        <w:tc>
          <w:tcPr>
            <w:tcW w:type="dxa" w:w="2160"/>
            <w:gridSpan w:val="1"/>
            <w:tcBorders>
              <w:top w:val="single" w:color="D9D9D9" w:sz="4"/>
              <w:left w:val="single" w:color="D9D9D9" w:sz="4"/>
              <w:bottom w:val="single" w:color="D9D9D9" w:sz="4"/>
              <w:right w:val="single" w:color="D9D9D9" w:sz="4"/>
            </w:tcBorders>
            <w:shd w:fill="C00000"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Original Due Date</w:t>
            </w:r>
          </w:p>
        </w:tc>
        <w:tc>
          <w:tcPr>
            <w:tcW w:type="dxa" w:w="1800"/>
            <w:gridSpan w:val="1"/>
            <w:tcBorders>
              <w:top w:val="single" w:color="D9D9D9" w:sz="4"/>
              <w:left w:val="single" w:color="D9D9D9" w:sz="4"/>
              <w:bottom w:val="single" w:color="D9D9D9" w:sz="4"/>
              <w:right w:val="single" w:color="D9D9D9" w:sz="4"/>
            </w:tcBorders>
            <w:shd w:fill="C00000"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Overdue By</w:t>
            </w:r>
          </w:p>
        </w:tc>
        <w:tc>
          <w:tcPr>
            <w:tcW w:type="dxa" w:w="1440"/>
            <w:gridSpan w:val="1"/>
            <w:tcBorders>
              <w:top w:val="single" w:color="D9D9D9" w:sz="4"/>
              <w:left w:val="single" w:color="D9D9D9" w:sz="4"/>
              <w:bottom w:val="single" w:color="D9D9D9" w:sz="4"/>
              <w:right w:val="single" w:color="D9D9D9" w:sz="4"/>
            </w:tcBorders>
            <w:shd w:fill="C00000"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Severity</w:t>
            </w:r>
          </w:p>
        </w:tc>
        <w:tc>
          <w:tcPr>
            <w:tcW w:type="dxa" w:w="1800"/>
            <w:gridSpan w:val="1"/>
            <w:tcBorders>
              <w:top w:val="single" w:color="D9D9D9" w:sz="4"/>
              <w:left w:val="single" w:color="D9D9D9" w:sz="4"/>
              <w:bottom w:val="single" w:color="D9D9D9" w:sz="4"/>
              <w:right w:val="single" w:color="D9D9D9" w:sz="4"/>
            </w:tcBorders>
            <w:shd w:fill="C00000"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AO Notified</w:t>
            </w:r>
          </w:p>
        </w:tc>
        <w:tc>
          <w:tcPr>
            <w:tcW w:type="dxa" w:w="3240"/>
            <w:gridSpan w:val="1"/>
            <w:tcBorders>
              <w:top w:val="single" w:color="D9D9D9" w:sz="4"/>
              <w:left w:val="single" w:color="D9D9D9" w:sz="4"/>
              <w:bottom w:val="single" w:color="D9D9D9" w:sz="4"/>
              <w:right w:val="single" w:color="D9D9D9" w:sz="4"/>
            </w:tcBorders>
            <w:shd w:fill="C00000"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Reason for Delay</w:t>
            </w:r>
          </w:p>
        </w:tc>
      </w:tr>
      <w:tr>
        <w:tc>
          <w:tcPr>
            <w:tcW w:type="dxa" w:w="324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left"/>
            </w:pPr>
            <w:r>
              <w:rPr>
                <w:rFonts w:ascii="Arial" w:cs="Arial" w:eastAsia="Arial" w:hAnsi="Arial"/>
                <w:b/>
                <w:bCs/>
                <w:color w:val="C00000"/>
                <w:sz w:val="18"/>
                <w:szCs w:val="18"/>
              </w:rPr>
              <w:t xml:space="preserve">CV-FHX-POAM-2025-010</w:t>
            </w:r>
          </w:p>
        </w:tc>
        <w:tc>
          <w:tcPr>
            <w:tcW w:type="dxa" w:w="216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February 28, 2026</w:t>
            </w:r>
          </w:p>
        </w:tc>
        <w:tc>
          <w:tcPr>
            <w:tcW w:type="dxa" w:w="180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bCs/>
                <w:color w:val="C00000"/>
                <w:sz w:val="20"/>
                <w:szCs w:val="20"/>
              </w:rPr>
              <w:t xml:space="preserve">1 Month</w:t>
            </w:r>
          </w:p>
        </w:tc>
        <w:tc>
          <w:tcPr>
            <w:tcW w:type="dxa" w:w="1440"/>
            <w:gridSpan w:val="1"/>
            <w:tcBorders>
              <w:top w:val="single" w:color="D9D9D9" w:sz="4"/>
              <w:left w:val="single" w:color="D9D9D9" w:sz="4"/>
              <w:bottom w:val="single" w:color="D9D9D9" w:sz="4"/>
              <w:right w:val="single" w:color="D9D9D9" w:sz="4"/>
            </w:tcBorders>
            <w:shd w:fill="FFF2CC" w:val="clear"/>
            <w:tcMar>
              <w:top w:type="dxa" w:w="100"/>
              <w:left w:type="dxa" w:w="160"/>
              <w:bottom w:type="dxa" w:w="100"/>
              <w:right w:type="dxa" w:w="160"/>
            </w:tcMar>
            <w:vAlign w:val="top"/>
          </w:tcPr>
          <w:p>
            <w:pPr>
              <w:spacing w:after="60" w:before="60"/>
              <w:jc w:val="center"/>
            </w:pPr>
            <w:r>
              <w:rPr>
                <w:rFonts w:ascii="Arial" w:cs="Arial" w:eastAsia="Arial" w:hAnsi="Arial"/>
                <w:b/>
                <w:bCs/>
                <w:color w:val="7F6000"/>
                <w:sz w:val="20"/>
                <w:szCs w:val="20"/>
              </w:rPr>
              <w:t xml:space="preserve">Moderate</w:t>
            </w:r>
          </w:p>
        </w:tc>
        <w:tc>
          <w:tcPr>
            <w:tcW w:type="dxa" w:w="180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March 3, 2026</w:t>
            </w:r>
          </w:p>
        </w:tc>
        <w:tc>
          <w:tcPr>
            <w:tcW w:type="dxa" w:w="3240"/>
            <w:gridSpan w:val="1"/>
            <w:tcBorders>
              <w:top w:val="single" w:color="D9D9D9" w:sz="4"/>
              <w:left w:val="single" w:color="D9D9D9" w:sz="4"/>
              <w:bottom w:val="single" w:color="D9D9D9" w:sz="4"/>
              <w:right w:val="single" w:color="D9D9D9" w:sz="4"/>
            </w:tcBorders>
            <w:shd w:fill="FCE4D6"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Configuration baseline update blocked pending Architecture Review Board (ARB) approval. ARB meeting scheduled March 25, 2026.</w:t>
            </w:r>
          </w:p>
        </w:tc>
      </w:tr>
    </w:tbl>
    <w:p>
      <w:pPr>
        <w:spacing w:after="0" w:before="0"/>
        <w:jc w:val="left"/>
      </w:pPr>
      <w:r>
        <w:rPr>
          <w:rFonts w:ascii="Arial" w:cs="Arial" w:eastAsia="Arial" w:hAnsi="Arial"/>
          <w:b w:val="false"/>
          <w:bCs w:val="false"/>
          <w:color w:val="000000"/>
          <w:sz w:val="10"/>
          <w:szCs w:val="10"/>
        </w:rPr>
        <w:t xml:space="preserve"/>
      </w:r>
    </w:p>
    <w:p>
      <w:pPr>
        <w:spacing w:after="60" w:before="60"/>
        <w:jc w:val="left"/>
      </w:pPr>
      <w:r>
        <w:rPr>
          <w:rFonts w:ascii="Arial" w:cs="Arial" w:eastAsia="Arial" w:hAnsi="Arial"/>
          <w:b w:val="false"/>
          <w:bCs w:val="false"/>
          <w:color w:val="000000"/>
          <w:sz w:val="20"/>
          <w:szCs w:val="20"/>
        </w:rPr>
        <w:t xml:space="preserve">ISSO Action: AO was notified March 3, 2026 per FedRAMP continuous monitoring requirements. ARB meeting scheduled March 25, 2026. If approval is obtained, baseline documentation update and POA&amp;M closure expected by March 31, 2026.</w:t>
      </w:r>
    </w:p>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p>
      <w:pPr>
        <w:pStyle w:val="Heading2"/>
        <w:spacing w:after="100" w:before="200"/>
      </w:pPr>
      <w:r>
        <w:rPr>
          <w:rFonts w:ascii="Arial" w:cs="Arial" w:eastAsia="Arial" w:hAnsi="Arial"/>
          <w:b/>
          <w:bCs/>
          <w:color w:val="2E5496"/>
          <w:sz w:val="26"/>
          <w:szCs w:val="26"/>
        </w:rPr>
        <w:t xml:space="preserve">6.2 At-Risk Items — On Extension or Approaching Due Date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4080"/>
        <w:gridCol w:w="4200"/>
      </w:tblGrid>
      <w:tr>
        <w:tc>
          <w:tcPr>
            <w:tcW w:type="dxa" w:w="3240"/>
            <w:gridSpan w:val="1"/>
            <w:tcBorders>
              <w:top w:val="single" w:color="D9D9D9" w:sz="4"/>
              <w:left w:val="single" w:color="D9D9D9" w:sz="4"/>
              <w:bottom w:val="single" w:color="D9D9D9" w:sz="4"/>
              <w:right w:val="single" w:color="D9D9D9" w:sz="4"/>
            </w:tcBorders>
            <w:shd w:fill="ED7D31"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POA&amp;M ID</w:t>
            </w:r>
          </w:p>
        </w:tc>
        <w:tc>
          <w:tcPr>
            <w:tcW w:type="dxa" w:w="2160"/>
            <w:gridSpan w:val="1"/>
            <w:tcBorders>
              <w:top w:val="single" w:color="D9D9D9" w:sz="4"/>
              <w:left w:val="single" w:color="D9D9D9" w:sz="4"/>
              <w:bottom w:val="single" w:color="D9D9D9" w:sz="4"/>
              <w:right w:val="single" w:color="D9D9D9" w:sz="4"/>
            </w:tcBorders>
            <w:shd w:fill="ED7D31"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Revised Due Date</w:t>
            </w:r>
          </w:p>
        </w:tc>
        <w:tc>
          <w:tcPr>
            <w:tcW w:type="dxa" w:w="4080"/>
            <w:gridSpan w:val="1"/>
            <w:tcBorders>
              <w:top w:val="single" w:color="D9D9D9" w:sz="4"/>
              <w:left w:val="single" w:color="D9D9D9" w:sz="4"/>
              <w:bottom w:val="single" w:color="D9D9D9" w:sz="4"/>
              <w:right w:val="single" w:color="D9D9D9" w:sz="4"/>
            </w:tcBorders>
            <w:shd w:fill="ED7D31"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Risk to Timeline</w:t>
            </w:r>
          </w:p>
        </w:tc>
        <w:tc>
          <w:tcPr>
            <w:tcW w:type="dxa" w:w="4200"/>
            <w:gridSpan w:val="1"/>
            <w:tcBorders>
              <w:top w:val="single" w:color="D9D9D9" w:sz="4"/>
              <w:left w:val="single" w:color="D9D9D9" w:sz="4"/>
              <w:bottom w:val="single" w:color="D9D9D9" w:sz="4"/>
              <w:right w:val="single" w:color="D9D9D9" w:sz="4"/>
            </w:tcBorders>
            <w:shd w:fill="ED7D31"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Mitigation Strategy</w:t>
            </w:r>
          </w:p>
        </w:tc>
      </w:tr>
      <w:tr>
        <w:tc>
          <w:tcPr>
            <w:tcW w:type="dxa" w:w="324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left"/>
            </w:pPr>
            <w:r>
              <w:rPr>
                <w:rFonts w:ascii="Arial" w:cs="Arial" w:eastAsia="Arial" w:hAnsi="Arial"/>
                <w:b/>
                <w:bCs/>
                <w:color w:val="ED7D31"/>
                <w:sz w:val="18"/>
                <w:szCs w:val="18"/>
              </w:rPr>
              <w:t xml:space="preserve">CV-FHX-POAM-2025-001</w:t>
            </w:r>
          </w:p>
        </w:tc>
        <w:tc>
          <w:tcPr>
            <w:tcW w:type="dxa" w:w="21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June 30, 2026</w:t>
            </w:r>
          </w:p>
        </w:tc>
        <w:tc>
          <w:tcPr>
            <w:tcW w:type="dxa" w:w="40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Medium — second extension possible if AWS Network Firewall production deployment encounters unexpected issues</w:t>
            </w:r>
          </w:p>
        </w:tc>
        <w:tc>
          <w:tcPr>
            <w:tcW w:type="dxa" w:w="42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Daily standup tracking between ISSO and Cloud Operations Lead; AO escalation path pre-defined</w:t>
            </w:r>
          </w:p>
        </w:tc>
      </w:tr>
      <w:tr>
        <w:tc>
          <w:tcPr>
            <w:tcW w:type="dxa" w:w="324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left"/>
            </w:pPr>
            <w:r>
              <w:rPr>
                <w:rFonts w:ascii="Arial" w:cs="Arial" w:eastAsia="Arial" w:hAnsi="Arial"/>
                <w:b/>
                <w:bCs/>
                <w:color w:val="ED7D31"/>
                <w:sz w:val="18"/>
                <w:szCs w:val="18"/>
              </w:rPr>
              <w:t xml:space="preserve">CV-FHX-POAM-2025-007</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April 30, 2026</w:t>
            </w:r>
          </w:p>
        </w:tc>
        <w:tc>
          <w:tcPr>
            <w:tcW w:type="dxa" w:w="408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Low — FIDO2 vendor has confirmed hardware delivery schedule for all 23 admin accounts</w:t>
            </w:r>
          </w:p>
        </w:tc>
        <w:tc>
          <w:tcPr>
            <w:tcW w:type="dxa" w:w="42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Weekly milestone check-in scheduled with vendor and ISSO</w:t>
            </w:r>
          </w:p>
        </w:tc>
      </w:tr>
    </w:tbl>
    <w:p>
      <w:r>
        <w:br/>
      </w:r>
    </w:p>
    <w:p>
      <w:pPr>
        <w:pStyle w:val="Heading1"/>
        <w:spacing w:after="140" w:before="280"/>
      </w:pPr>
      <w:r>
        <w:rPr>
          <w:rFonts w:ascii="Arial" w:cs="Arial" w:eastAsia="Arial" w:hAnsi="Arial"/>
          <w:b/>
          <w:bCs/>
          <w:color w:val="1F3864"/>
          <w:sz w:val="32"/>
          <w:szCs w:val="32"/>
        </w:rPr>
        <w:t xml:space="preserve">7. POA&amp;M Governance and Update Procedures</w:t>
      </w:r>
    </w:p>
    <w:p>
      <w:pPr>
        <w:pStyle w:val="Heading2"/>
        <w:spacing w:after="100" w:before="200"/>
      </w:pPr>
      <w:r>
        <w:rPr>
          <w:rFonts w:ascii="Arial" w:cs="Arial" w:eastAsia="Arial" w:hAnsi="Arial"/>
          <w:b/>
          <w:bCs/>
          <w:color w:val="2E5496"/>
          <w:sz w:val="26"/>
          <w:szCs w:val="26"/>
        </w:rPr>
        <w:t xml:space="preserve">7.1 Update Frequency and Submission Schedule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gridCol w:w="4320"/>
      </w:tblGrid>
      <w:tr>
        <w:tc>
          <w:tcPr>
            <w:tcW w:type="dxa" w:w="576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Activity</w:t>
            </w:r>
          </w:p>
        </w:tc>
        <w:tc>
          <w:tcPr>
            <w:tcW w:type="dxa" w:w="360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Frequency</w:t>
            </w:r>
          </w:p>
        </w:tc>
        <w:tc>
          <w:tcPr>
            <w:tcW w:type="dxa" w:w="4320"/>
            <w:gridSpan w:val="1"/>
            <w:tcBorders>
              <w:top w:val="single" w:color="D9D9D9" w:sz="4"/>
              <w:left w:val="single" w:color="D9D9D9" w:sz="4"/>
              <w:bottom w:val="single" w:color="D9D9D9" w:sz="4"/>
              <w:right w:val="single" w:color="D9D9D9" w:sz="4"/>
            </w:tcBorders>
            <w:shd w:fill="1F3864"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Responsible Party</w:t>
            </w:r>
          </w:p>
        </w:tc>
      </w:tr>
      <w:tr>
        <w:tc>
          <w:tcPr>
            <w:tcW w:type="dxa" w:w="576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POA&amp;M data entry and milestone updates</w:t>
            </w:r>
          </w:p>
        </w:tc>
        <w:tc>
          <w:tcPr>
            <w:tcW w:type="dxa" w:w="360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Weekly</w:t>
            </w:r>
          </w:p>
        </w:tc>
        <w:tc>
          <w:tcPr>
            <w:tcW w:type="dxa" w:w="432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ISSO — Enechi P.C. Njeze</w:t>
            </w:r>
          </w:p>
        </w:tc>
      </w:tr>
      <w:tr>
        <w:tc>
          <w:tcPr>
            <w:tcW w:type="dxa" w:w="57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Vulnerability scan integration and new item creation</w:t>
            </w:r>
          </w:p>
        </w:tc>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Monthly (within 5 business days of scan completion)</w:t>
            </w:r>
          </w:p>
        </w:tc>
        <w:tc>
          <w:tcPr>
            <w:tcW w:type="dxa" w:w="432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ISSO and Cloud Operations Lead</w:t>
            </w:r>
          </w:p>
        </w:tc>
      </w:tr>
      <w:tr>
        <w:tc>
          <w:tcPr>
            <w:tcW w:type="dxa" w:w="576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Full POA&amp;M review and AO submission</w:t>
            </w:r>
          </w:p>
        </w:tc>
        <w:tc>
          <w:tcPr>
            <w:tcW w:type="dxa" w:w="360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Monthly (by last business day of each month)</w:t>
            </w:r>
          </w:p>
        </w:tc>
        <w:tc>
          <w:tcPr>
            <w:tcW w:type="dxa" w:w="432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ISSO</w:t>
            </w:r>
          </w:p>
        </w:tc>
      </w:tr>
      <w:tr>
        <w:tc>
          <w:tcPr>
            <w:tcW w:type="dxa" w:w="57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Quarterly POA&amp;M deep review with AO</w:t>
            </w:r>
          </w:p>
        </w:tc>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Quarterly</w:t>
            </w:r>
          </w:p>
        </w:tc>
        <w:tc>
          <w:tcPr>
            <w:tcW w:type="dxa" w:w="432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ISSO, AO, SAISO</w:t>
            </w:r>
          </w:p>
        </w:tc>
      </w:tr>
      <w:tr>
        <w:tc>
          <w:tcPr>
            <w:tcW w:type="dxa" w:w="576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Annual POA&amp;M reconciliation with SAR</w:t>
            </w:r>
          </w:p>
        </w:tc>
        <w:tc>
          <w:tcPr>
            <w:tcW w:type="dxa" w:w="360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Annually</w:t>
            </w:r>
          </w:p>
        </w:tc>
        <w:tc>
          <w:tcPr>
            <w:tcW w:type="dxa" w:w="432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ISSO, 3PAO</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p>
      <w:pPr>
        <w:pStyle w:val="Heading2"/>
        <w:spacing w:after="100" w:before="200"/>
      </w:pPr>
      <w:r>
        <w:rPr>
          <w:rFonts w:ascii="Arial" w:cs="Arial" w:eastAsia="Arial" w:hAnsi="Arial"/>
          <w:b/>
          <w:bCs/>
          <w:color w:val="2E5496"/>
          <w:sz w:val="26"/>
          <w:szCs w:val="26"/>
        </w:rPr>
        <w:t xml:space="preserve">7.2 New Item Creation Criteria</w:t>
      </w:r>
    </w:p>
    <w:p>
      <w:pPr>
        <w:spacing w:after="60" w:before="60"/>
        <w:jc w:val="left"/>
      </w:pPr>
      <w:r>
        <w:rPr>
          <w:rFonts w:ascii="Arial" w:cs="Arial" w:eastAsia="Arial" w:hAnsi="Arial"/>
          <w:b w:val="false"/>
          <w:bCs w:val="false"/>
          <w:color w:val="000000"/>
          <w:sz w:val="20"/>
          <w:szCs w:val="20"/>
        </w:rPr>
        <w:t xml:space="preserve">A new POA&amp;M item is created when any of the following conditions are met:</w:t>
      </w:r>
    </w:p>
    <w:p>
      <w:pPr>
        <w:pStyle w:val="ListParagraph"/>
        <w:numPr>
          <w:ilvl w:val="0"/>
          <w:numId w:val="2"/>
        </w:numPr>
        <w:spacing w:after="60"/>
      </w:pPr>
      <w:r>
        <w:rPr>
          <w:rFonts w:ascii="Arial" w:cs="Arial" w:eastAsia="Arial" w:hAnsi="Arial"/>
          <w:sz w:val="20"/>
          <w:szCs w:val="20"/>
        </w:rPr>
        <w:t xml:space="preserve">A security control is assessed as Other Than Satisfied (OTS) during an assessment or monitoring activity</w:t>
      </w:r>
    </w:p>
    <w:p>
      <w:pPr>
        <w:pStyle w:val="ListParagraph"/>
        <w:numPr>
          <w:ilvl w:val="0"/>
          <w:numId w:val="2"/>
        </w:numPr>
        <w:spacing w:after="60"/>
      </w:pPr>
      <w:r>
        <w:rPr>
          <w:rFonts w:ascii="Arial" w:cs="Arial" w:eastAsia="Arial" w:hAnsi="Arial"/>
          <w:sz w:val="20"/>
          <w:szCs w:val="20"/>
        </w:rPr>
        <w:t xml:space="preserve">A vulnerability scan identifies a finding with CVSS score 4.0 or above that cannot be remediated within the standard patching SLA</w:t>
      </w:r>
    </w:p>
    <w:p>
      <w:pPr>
        <w:pStyle w:val="ListParagraph"/>
        <w:numPr>
          <w:ilvl w:val="0"/>
          <w:numId w:val="2"/>
        </w:numPr>
        <w:spacing w:after="60"/>
      </w:pPr>
      <w:r>
        <w:rPr>
          <w:rFonts w:ascii="Arial" w:cs="Arial" w:eastAsia="Arial" w:hAnsi="Arial"/>
          <w:sz w:val="20"/>
          <w:szCs w:val="20"/>
        </w:rPr>
        <w:t xml:space="preserve">A penetration test identifies an exploitable weakness</w:t>
      </w:r>
    </w:p>
    <w:p>
      <w:pPr>
        <w:pStyle w:val="ListParagraph"/>
        <w:numPr>
          <w:ilvl w:val="0"/>
          <w:numId w:val="2"/>
        </w:numPr>
        <w:spacing w:after="60"/>
      </w:pPr>
      <w:r>
        <w:rPr>
          <w:rFonts w:ascii="Arial" w:cs="Arial" w:eastAsia="Arial" w:hAnsi="Arial"/>
          <w:sz w:val="20"/>
          <w:szCs w:val="20"/>
        </w:rPr>
        <w:t xml:space="preserve">A security incident investigation reveals a previously unknown control gap</w:t>
      </w:r>
    </w:p>
    <w:p>
      <w:pPr>
        <w:pStyle w:val="ListParagraph"/>
        <w:numPr>
          <w:ilvl w:val="0"/>
          <w:numId w:val="2"/>
        </w:numPr>
        <w:spacing w:after="60"/>
      </w:pPr>
      <w:r>
        <w:rPr>
          <w:rFonts w:ascii="Arial" w:cs="Arial" w:eastAsia="Arial" w:hAnsi="Arial"/>
          <w:sz w:val="20"/>
          <w:szCs w:val="20"/>
        </w:rPr>
        <w:t xml:space="preserve">The ISSO or system owner identifies a control deficiency through self-assessment or internal review</w:t>
      </w:r>
    </w:p>
    <w:p>
      <w:pPr>
        <w:pStyle w:val="ListParagraph"/>
        <w:numPr>
          <w:ilvl w:val="0"/>
          <w:numId w:val="2"/>
        </w:numPr>
        <w:spacing w:after="60"/>
      </w:pPr>
      <w:r>
        <w:rPr>
          <w:rFonts w:ascii="Arial" w:cs="Arial" w:eastAsia="Arial" w:hAnsi="Arial"/>
          <w:sz w:val="20"/>
          <w:szCs w:val="20"/>
        </w:rPr>
        <w:t xml:space="preserve">A FedRAMP PMO review raises a finding against the authorization package</w:t>
      </w:r>
    </w:p>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p>
      <w:pPr>
        <w:pStyle w:val="Heading2"/>
        <w:spacing w:after="100" w:before="200"/>
      </w:pPr>
      <w:r>
        <w:rPr>
          <w:rFonts w:ascii="Arial" w:cs="Arial" w:eastAsia="Arial" w:hAnsi="Arial"/>
          <w:b/>
          <w:bCs/>
          <w:color w:val="2E5496"/>
          <w:sz w:val="26"/>
          <w:szCs w:val="26"/>
        </w:rPr>
        <w:t xml:space="preserve">7.3 POA&amp;M Closure Criteria</w:t>
      </w:r>
    </w:p>
    <w:p>
      <w:pPr>
        <w:spacing w:after="60" w:before="60"/>
        <w:jc w:val="left"/>
      </w:pPr>
      <w:r>
        <w:rPr>
          <w:rFonts w:ascii="Arial" w:cs="Arial" w:eastAsia="Arial" w:hAnsi="Arial"/>
          <w:b w:val="false"/>
          <w:bCs w:val="false"/>
          <w:color w:val="000000"/>
          <w:sz w:val="20"/>
          <w:szCs w:val="20"/>
        </w:rPr>
        <w:t xml:space="preserve">A POA&amp;M item may be closed only when ALL of the following conditions are satisfied:</w:t>
      </w:r>
    </w:p>
    <w:p>
      <w:pPr>
        <w:pStyle w:val="ListParagraph"/>
        <w:numPr>
          <w:ilvl w:val="0"/>
          <w:numId w:val="2"/>
        </w:numPr>
        <w:spacing w:after="60"/>
      </w:pPr>
      <w:r>
        <w:rPr>
          <w:rFonts w:ascii="Arial" w:cs="Arial" w:eastAsia="Arial" w:hAnsi="Arial"/>
          <w:sz w:val="20"/>
          <w:szCs w:val="20"/>
        </w:rPr>
        <w:t xml:space="preserve">All corrective action milestones have been completed</w:t>
      </w:r>
    </w:p>
    <w:p>
      <w:pPr>
        <w:pStyle w:val="ListParagraph"/>
        <w:numPr>
          <w:ilvl w:val="0"/>
          <w:numId w:val="2"/>
        </w:numPr>
        <w:spacing w:after="60"/>
      </w:pPr>
      <w:r>
        <w:rPr>
          <w:rFonts w:ascii="Arial" w:cs="Arial" w:eastAsia="Arial" w:hAnsi="Arial"/>
          <w:sz w:val="20"/>
          <w:szCs w:val="20"/>
        </w:rPr>
        <w:t xml:space="preserve">The ISSO has reviewed and accepted the closure evidence</w:t>
      </w:r>
    </w:p>
    <w:p>
      <w:pPr>
        <w:pStyle w:val="ListParagraph"/>
        <w:numPr>
          <w:ilvl w:val="0"/>
          <w:numId w:val="2"/>
        </w:numPr>
        <w:spacing w:after="60"/>
      </w:pPr>
      <w:r>
        <w:rPr>
          <w:rFonts w:ascii="Arial" w:cs="Arial" w:eastAsia="Arial" w:hAnsi="Arial"/>
          <w:sz w:val="20"/>
          <w:szCs w:val="20"/>
        </w:rPr>
        <w:t xml:space="preserve">The remediated control has been verified through testing, examination, or interview (as appropriate to the control type)</w:t>
      </w:r>
    </w:p>
    <w:p>
      <w:pPr>
        <w:pStyle w:val="ListParagraph"/>
        <w:numPr>
          <w:ilvl w:val="0"/>
          <w:numId w:val="2"/>
        </w:numPr>
        <w:spacing w:after="60"/>
      </w:pPr>
      <w:r>
        <w:rPr>
          <w:rFonts w:ascii="Arial" w:cs="Arial" w:eastAsia="Arial" w:hAnsi="Arial"/>
          <w:sz w:val="20"/>
          <w:szCs w:val="20"/>
        </w:rPr>
        <w:t xml:space="preserve">The SSP has been updated to reflect the corrected control implementation statement if the implementation changed</w:t>
      </w:r>
    </w:p>
    <w:p>
      <w:pPr>
        <w:pStyle w:val="ListParagraph"/>
        <w:numPr>
          <w:ilvl w:val="0"/>
          <w:numId w:val="2"/>
        </w:numPr>
        <w:spacing w:after="60"/>
      </w:pPr>
      <w:r>
        <w:rPr>
          <w:rFonts w:ascii="Arial" w:cs="Arial" w:eastAsia="Arial" w:hAnsi="Arial"/>
          <w:sz w:val="20"/>
          <w:szCs w:val="20"/>
        </w:rPr>
        <w:t xml:space="preserve">The closure is documented in this tracker with the closure date and evidence reference</w:t>
      </w:r>
    </w:p>
    <w:p>
      <w:pPr>
        <w:pStyle w:val="ListParagraph"/>
        <w:numPr>
          <w:ilvl w:val="0"/>
          <w:numId w:val="2"/>
        </w:numPr>
        <w:spacing w:after="60"/>
      </w:pPr>
      <w:r>
        <w:rPr>
          <w:rFonts w:ascii="Arial" w:cs="Arial" w:eastAsia="Arial" w:hAnsi="Arial"/>
          <w:sz w:val="20"/>
          <w:szCs w:val="20"/>
        </w:rPr>
        <w:t xml:space="preserve">For Critical or High items, the 3PAO or ISSO has conducted independent verification of the remediation</w:t>
      </w:r>
    </w:p>
    <w:p>
      <w:r>
        <w:br/>
      </w:r>
    </w:p>
    <w:p>
      <w:pPr>
        <w:pStyle w:val="Heading1"/>
        <w:spacing w:after="140" w:before="280"/>
      </w:pPr>
      <w:r>
        <w:rPr>
          <w:rFonts w:ascii="Arial" w:cs="Arial" w:eastAsia="Arial" w:hAnsi="Arial"/>
          <w:b/>
          <w:bCs/>
          <w:color w:val="1F3864"/>
          <w:sz w:val="32"/>
          <w:szCs w:val="32"/>
        </w:rPr>
        <w:t xml:space="preserve">8. Compensating Controls Register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5040"/>
        <w:gridCol w:w="2040"/>
        <w:gridCol w:w="1560"/>
      </w:tblGrid>
      <w:tr>
        <w:tc>
          <w:tcPr>
            <w:tcW w:type="dxa" w:w="216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CC ID</w:t>
            </w:r>
          </w:p>
        </w:tc>
        <w:tc>
          <w:tcPr>
            <w:tcW w:type="dxa" w:w="288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Associated POA&amp;M</w:t>
            </w:r>
          </w:p>
        </w:tc>
        <w:tc>
          <w:tcPr>
            <w:tcW w:type="dxa" w:w="504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Compensating Control Description</w:t>
            </w:r>
          </w:p>
        </w:tc>
        <w:tc>
          <w:tcPr>
            <w:tcW w:type="dxa" w:w="204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Owner</w:t>
            </w:r>
          </w:p>
        </w:tc>
        <w:tc>
          <w:tcPr>
            <w:tcW w:type="dxa" w:w="156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Effective / Review Date</w:t>
            </w:r>
          </w:p>
        </w:tc>
      </w:tr>
      <w:tr>
        <w:tc>
          <w:tcPr>
            <w:tcW w:type="dxa" w:w="216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CV-FHX-CC-001</w:t>
            </w:r>
          </w:p>
        </w:tc>
        <w:tc>
          <w:tcPr>
            <w:tcW w:type="dxa" w:w="28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bCs/>
                <w:color w:val="2E5496"/>
                <w:sz w:val="18"/>
                <w:szCs w:val="18"/>
              </w:rPr>
              <w:t xml:space="preserve">CV-FHX-POAM-2025-001</w:t>
            </w:r>
          </w:p>
        </w:tc>
        <w:tc>
          <w:tcPr>
            <w:tcW w:type="dxa" w:w="50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Enhanced Amazon CloudWatch egress anomaly detection with 15-minute alert threshold and automated Security Hub notification to ISSO. SOC reviews all egress anomaly alerts within 1 hour.</w:t>
            </w:r>
          </w:p>
        </w:tc>
        <w:tc>
          <w:tcPr>
            <w:tcW w:type="dxa" w:w="20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Trevor L. Abrams</w:t>
            </w:r>
          </w:p>
        </w:tc>
        <w:tc>
          <w:tcPr>
            <w:tcW w:type="dxa" w:w="15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18"/>
                <w:szCs w:val="18"/>
              </w:rPr>
              <w:t xml:space="preserve">Effective: Oct 20, 2025</w:t>
            </w:r>
          </w:p>
          <w:p>
            <w:pPr>
              <w:spacing w:after="60" w:before="60"/>
              <w:jc w:val="left"/>
            </w:pPr>
            <w:r>
              <w:rPr>
                <w:rFonts w:ascii="Arial" w:cs="Arial" w:eastAsia="Arial" w:hAnsi="Arial"/>
                <w:b w:val="false"/>
                <w:bCs w:val="false"/>
                <w:color w:val="000000"/>
                <w:sz w:val="18"/>
                <w:szCs w:val="18"/>
              </w:rPr>
              <w:t xml:space="preserve">Review: Jun 30, 2026</w:t>
            </w:r>
          </w:p>
        </w:tc>
      </w:tr>
      <w:tr>
        <w:tc>
          <w:tcPr>
            <w:tcW w:type="dxa" w:w="216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CV-FHX-CC-002</w:t>
            </w:r>
          </w:p>
        </w:tc>
        <w:tc>
          <w:tcPr>
            <w:tcW w:type="dxa" w:w="28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bCs/>
                <w:color w:val="2E5496"/>
                <w:sz w:val="18"/>
                <w:szCs w:val="18"/>
              </w:rPr>
              <w:t xml:space="preserve">CV-FHX-POAM-2025-007</w:t>
            </w:r>
          </w:p>
        </w:tc>
        <w:tc>
          <w:tcPr>
            <w:tcW w:type="dxa" w:w="50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Privileged admin sessions require VPN with certificate-based authentication and are monitored in real time via AWS CloudTrail and GuardDuty. All privileged actions reviewed in weekly access log audits by ISSO.</w:t>
            </w:r>
          </w:p>
        </w:tc>
        <w:tc>
          <w:tcPr>
            <w:tcW w:type="dxa" w:w="20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Enechi P.C. Njeze</w:t>
            </w:r>
          </w:p>
        </w:tc>
        <w:tc>
          <w:tcPr>
            <w:tcW w:type="dxa" w:w="15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18"/>
                <w:szCs w:val="18"/>
              </w:rPr>
              <w:t xml:space="preserve">Effective: Oct 22, 2025</w:t>
            </w:r>
          </w:p>
          <w:p>
            <w:pPr>
              <w:spacing w:after="60" w:before="60"/>
              <w:jc w:val="left"/>
            </w:pPr>
            <w:r>
              <w:rPr>
                <w:rFonts w:ascii="Arial" w:cs="Arial" w:eastAsia="Arial" w:hAnsi="Arial"/>
                <w:b w:val="false"/>
                <w:bCs w:val="false"/>
                <w:color w:val="000000"/>
                <w:sz w:val="18"/>
                <w:szCs w:val="18"/>
              </w:rPr>
              <w:t xml:space="preserve">Review: Apr 30, 2026</w:t>
            </w:r>
          </w:p>
        </w:tc>
      </w:tr>
      <w:tr>
        <w:tc>
          <w:tcPr>
            <w:tcW w:type="dxa" w:w="216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CV-FHX-CC-003</w:t>
            </w:r>
          </w:p>
        </w:tc>
        <w:tc>
          <w:tcPr>
            <w:tcW w:type="dxa" w:w="28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bCs/>
                <w:color w:val="2E5496"/>
                <w:sz w:val="18"/>
                <w:szCs w:val="18"/>
              </w:rPr>
              <w:t xml:space="preserve">CV-FHX-POAM-2026-001</w:t>
            </w:r>
          </w:p>
        </w:tc>
        <w:tc>
          <w:tcPr>
            <w:tcW w:type="dxa" w:w="50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Three affected EC2 instances placed in a restricted security group with no inbound internet access pending patch application. Application traffic routed through unaffected instances during the remediation window.</w:t>
            </w:r>
          </w:p>
        </w:tc>
        <w:tc>
          <w:tcPr>
            <w:tcW w:type="dxa" w:w="20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Trevor L. Abrams</w:t>
            </w:r>
          </w:p>
        </w:tc>
        <w:tc>
          <w:tcPr>
            <w:tcW w:type="dxa" w:w="15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18"/>
                <w:szCs w:val="18"/>
              </w:rPr>
              <w:t xml:space="preserve">Effective: Feb 6, 2026</w:t>
            </w:r>
          </w:p>
          <w:p>
            <w:pPr>
              <w:spacing w:after="60" w:before="60"/>
              <w:jc w:val="left"/>
            </w:pPr>
            <w:r>
              <w:rPr>
                <w:rFonts w:ascii="Arial" w:cs="Arial" w:eastAsia="Arial" w:hAnsi="Arial"/>
                <w:b w:val="false"/>
                <w:bCs w:val="false"/>
                <w:color w:val="000000"/>
                <w:sz w:val="18"/>
                <w:szCs w:val="18"/>
              </w:rPr>
              <w:t xml:space="preserve">Review: Mar 14, 2026</w:t>
            </w:r>
          </w:p>
        </w:tc>
      </w:tr>
      <w:tr>
        <w:tc>
          <w:tcPr>
            <w:tcW w:type="dxa" w:w="2160"/>
            <w:gridSpan w:val="1"/>
            <w:tcBorders>
              <w:top w:val="single" w:color="D9D9D9" w:sz="4"/>
              <w:left w:val="single" w:color="D9D9D9" w:sz="4"/>
              <w:bottom w:val="single" w:color="D9D9D9" w:sz="4"/>
              <w:right w:val="single" w:color="D9D9D9" w:sz="4"/>
            </w:tcBorders>
            <w:shd w:fill="2E5496"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0"/>
                <w:szCs w:val="20"/>
              </w:rPr>
              <w:t xml:space="preserve">CV-FHX-CC-004</w:t>
            </w:r>
          </w:p>
        </w:tc>
        <w:tc>
          <w:tcPr>
            <w:tcW w:type="dxa" w:w="2880"/>
            <w:gridSpan w:val="1"/>
            <w:tcBorders>
              <w:top w:val="single" w:color="D9D9D9" w:sz="4"/>
              <w:left w:val="single" w:color="D9D9D9" w:sz="4"/>
              <w:bottom w:val="single" w:color="D9D9D9" w:sz="4"/>
              <w:right w:val="single" w:color="D9D9D9" w:sz="4"/>
            </w:tcBorders>
            <w:shd w:fill="DDEBF7" w:val="clear"/>
            <w:tcMar>
              <w:top w:type="dxa" w:w="100"/>
              <w:left w:type="dxa" w:w="160"/>
              <w:bottom w:type="dxa" w:w="100"/>
              <w:right w:type="dxa" w:w="160"/>
            </w:tcMar>
            <w:vAlign w:val="top"/>
          </w:tcPr>
          <w:p>
            <w:pPr>
              <w:spacing w:after="60" w:before="60"/>
              <w:jc w:val="left"/>
            </w:pPr>
            <w:r>
              <w:rPr>
                <w:rFonts w:ascii="Arial" w:cs="Arial" w:eastAsia="Arial" w:hAnsi="Arial"/>
                <w:b/>
                <w:bCs/>
                <w:color w:val="2E5496"/>
                <w:sz w:val="18"/>
                <w:szCs w:val="18"/>
              </w:rPr>
              <w:t xml:space="preserve">CV-FHX-POAM-2025-004</w:t>
            </w:r>
          </w:p>
        </w:tc>
        <w:tc>
          <w:tcPr>
            <w:tcW w:type="dxa" w:w="50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Audit logs archived to Amazon S3 with 7-year retention (exceeds the 12-month online requirement). Archive encrypted with KMS; immutable object lock enabled. Online 12-month index is being rebuilt.</w:t>
            </w:r>
          </w:p>
        </w:tc>
        <w:tc>
          <w:tcPr>
            <w:tcW w:type="dxa" w:w="20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Trevor L. Abrams</w:t>
            </w:r>
          </w:p>
        </w:tc>
        <w:tc>
          <w:tcPr>
            <w:tcW w:type="dxa" w:w="15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20" w:before="60"/>
              <w:jc w:val="left"/>
            </w:pPr>
            <w:r>
              <w:rPr>
                <w:rFonts w:ascii="Arial" w:cs="Arial" w:eastAsia="Arial" w:hAnsi="Arial"/>
                <w:b w:val="false"/>
                <w:bCs w:val="false"/>
                <w:color w:val="000000"/>
                <w:sz w:val="18"/>
                <w:szCs w:val="18"/>
              </w:rPr>
              <w:t xml:space="preserve">Effective: Nov 1, 2025</w:t>
            </w:r>
          </w:p>
          <w:p>
            <w:pPr>
              <w:spacing w:after="60" w:before="60"/>
              <w:jc w:val="left"/>
            </w:pPr>
            <w:r>
              <w:rPr>
                <w:rFonts w:ascii="Arial" w:cs="Arial" w:eastAsia="Arial" w:hAnsi="Arial"/>
                <w:b w:val="false"/>
                <w:bCs w:val="false"/>
                <w:color w:val="000000"/>
                <w:sz w:val="18"/>
                <w:szCs w:val="18"/>
              </w:rPr>
              <w:t xml:space="preserve">Review: Apr 30, 2026</w:t>
            </w:r>
          </w:p>
        </w:tc>
      </w:tr>
    </w:tbl>
    <w:p>
      <w:r>
        <w:br/>
      </w:r>
    </w:p>
    <w:p>
      <w:pPr>
        <w:pStyle w:val="Heading1"/>
        <w:spacing w:after="140" w:before="280"/>
      </w:pPr>
      <w:r>
        <w:rPr>
          <w:rFonts w:ascii="Arial" w:cs="Arial" w:eastAsia="Arial" w:hAnsi="Arial"/>
          <w:b/>
          <w:bCs/>
          <w:color w:val="1F3864"/>
          <w:sz w:val="32"/>
          <w:szCs w:val="32"/>
        </w:rPr>
        <w:t xml:space="preserve">9. Vendor and Third-Party Dependency Tracker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600"/>
        <w:gridCol w:w="1920"/>
        <w:gridCol w:w="2760"/>
      </w:tblGrid>
      <w:tr>
        <w:tc>
          <w:tcPr>
            <w:tcW w:type="dxa" w:w="3240"/>
            <w:gridSpan w:val="1"/>
            <w:tcBorders>
              <w:top w:val="single" w:color="D9D9D9" w:sz="4"/>
              <w:left w:val="single" w:color="D9D9D9" w:sz="4"/>
              <w:bottom w:val="single" w:color="D9D9D9" w:sz="4"/>
              <w:right w:val="single" w:color="D9D9D9" w:sz="4"/>
            </w:tcBorders>
            <w:shd w:fill="595959"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POA&amp;M ID</w:t>
            </w:r>
          </w:p>
        </w:tc>
        <w:tc>
          <w:tcPr>
            <w:tcW w:type="dxa" w:w="2160"/>
            <w:gridSpan w:val="1"/>
            <w:tcBorders>
              <w:top w:val="single" w:color="D9D9D9" w:sz="4"/>
              <w:left w:val="single" w:color="D9D9D9" w:sz="4"/>
              <w:bottom w:val="single" w:color="D9D9D9" w:sz="4"/>
              <w:right w:val="single" w:color="D9D9D9" w:sz="4"/>
            </w:tcBorders>
            <w:shd w:fill="595959"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Dependency Type</w:t>
            </w:r>
          </w:p>
        </w:tc>
        <w:tc>
          <w:tcPr>
            <w:tcW w:type="dxa" w:w="3600"/>
            <w:gridSpan w:val="1"/>
            <w:tcBorders>
              <w:top w:val="single" w:color="D9D9D9" w:sz="4"/>
              <w:left w:val="single" w:color="D9D9D9" w:sz="4"/>
              <w:bottom w:val="single" w:color="D9D9D9" w:sz="4"/>
              <w:right w:val="single" w:color="D9D9D9" w:sz="4"/>
            </w:tcBorders>
            <w:shd w:fill="595959"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Vendor / Party</w:t>
            </w:r>
          </w:p>
        </w:tc>
        <w:tc>
          <w:tcPr>
            <w:tcW w:type="dxa" w:w="1920"/>
            <w:gridSpan w:val="1"/>
            <w:tcBorders>
              <w:top w:val="single" w:color="D9D9D9" w:sz="4"/>
              <w:left w:val="single" w:color="D9D9D9" w:sz="4"/>
              <w:bottom w:val="single" w:color="D9D9D9" w:sz="4"/>
              <w:right w:val="single" w:color="D9D9D9" w:sz="4"/>
            </w:tcBorders>
            <w:shd w:fill="595959"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Expected Resolution</w:t>
            </w:r>
          </w:p>
        </w:tc>
        <w:tc>
          <w:tcPr>
            <w:tcW w:type="dxa" w:w="2760"/>
            <w:gridSpan w:val="1"/>
            <w:tcBorders>
              <w:top w:val="single" w:color="D9D9D9" w:sz="4"/>
              <w:left w:val="single" w:color="D9D9D9" w:sz="4"/>
              <w:bottom w:val="single" w:color="D9D9D9" w:sz="4"/>
              <w:right w:val="single" w:color="D9D9D9" w:sz="4"/>
            </w:tcBorders>
            <w:shd w:fill="595959"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0"/>
                <w:szCs w:val="20"/>
              </w:rPr>
              <w:t xml:space="preserve">Risk to Timeline</w:t>
            </w:r>
          </w:p>
        </w:tc>
      </w:tr>
      <w:tr>
        <w:tc>
          <w:tcPr>
            <w:tcW w:type="dxa" w:w="32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bCs/>
                <w:color w:val="595959"/>
                <w:sz w:val="18"/>
                <w:szCs w:val="18"/>
              </w:rPr>
              <w:t xml:space="preserve">CV-FHX-POAM-2025-001</w:t>
            </w:r>
          </w:p>
        </w:tc>
        <w:tc>
          <w:tcPr>
            <w:tcW w:type="dxa" w:w="21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AWS Service</w:t>
            </w:r>
          </w:p>
        </w:tc>
        <w:tc>
          <w:tcPr>
            <w:tcW w:type="dxa" w:w="36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Amazon Web Services — AWS Network Firewall deployment in AWS GovCloud environment</w:t>
            </w:r>
          </w:p>
        </w:tc>
        <w:tc>
          <w:tcPr>
            <w:tcW w:type="dxa" w:w="192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April 30, 2026</w:t>
            </w:r>
          </w:p>
        </w:tc>
        <w:tc>
          <w:tcPr>
            <w:tcW w:type="dxa" w:w="2760"/>
            <w:gridSpan w:val="1"/>
            <w:tcBorders>
              <w:top w:val="single" w:color="D9D9D9" w:sz="4"/>
              <w:left w:val="single" w:color="D9D9D9" w:sz="4"/>
              <w:bottom w:val="single" w:color="D9D9D9" w:sz="4"/>
              <w:right w:val="single" w:color="D9D9D9" w:sz="4"/>
            </w:tcBorders>
            <w:shd w:fill="FDEBD0" w:val="clear"/>
            <w:tcMar>
              <w:top w:type="dxa" w:w="100"/>
              <w:left w:type="dxa" w:w="160"/>
              <w:bottom w:type="dxa" w:w="100"/>
              <w:right w:type="dxa" w:w="160"/>
            </w:tcMar>
            <w:vAlign w:val="top"/>
          </w:tcPr>
          <w:p>
            <w:pPr>
              <w:spacing w:after="60" w:before="60"/>
              <w:jc w:val="left"/>
            </w:pPr>
            <w:r>
              <w:rPr>
                <w:rFonts w:ascii="Arial" w:cs="Arial" w:eastAsia="Arial" w:hAnsi="Arial"/>
                <w:b/>
                <w:bCs/>
                <w:color w:val="ED7D31"/>
                <w:sz w:val="20"/>
                <w:szCs w:val="20"/>
              </w:rPr>
              <w:t xml:space="preserve">Medium — escalation path to AO defined; daily standup in progress</w:t>
            </w:r>
          </w:p>
        </w:tc>
      </w:tr>
      <w:tr>
        <w:tc>
          <w:tcPr>
            <w:tcW w:type="dxa" w:w="32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595959"/>
                <w:sz w:val="18"/>
                <w:szCs w:val="18"/>
              </w:rPr>
              <w:t xml:space="preserve">CV-FHX-POAM-2025-007</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Vendor Product</w:t>
            </w:r>
          </w:p>
        </w:tc>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FIDO2 MFA Vendor (TBD) — hardware key procurement and enrollment for 23 admin accounts</w:t>
            </w:r>
          </w:p>
        </w:tc>
        <w:tc>
          <w:tcPr>
            <w:tcW w:type="dxa" w:w="192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April 15, 2026</w:t>
            </w:r>
          </w:p>
        </w:tc>
        <w:tc>
          <w:tcPr>
            <w:tcW w:type="dxa" w:w="276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bCs/>
                <w:color w:val="375623"/>
                <w:sz w:val="20"/>
                <w:szCs w:val="20"/>
              </w:rPr>
              <w:t xml:space="preserve">Low — vendor confirmed delivery schedule</w:t>
            </w:r>
          </w:p>
        </w:tc>
      </w:tr>
      <w:tr>
        <w:tc>
          <w:tcPr>
            <w:tcW w:type="dxa" w:w="324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bCs/>
                <w:color w:val="595959"/>
                <w:sz w:val="18"/>
                <w:szCs w:val="18"/>
              </w:rPr>
              <w:t xml:space="preserve">CV-FHX-POAM-2025-018</w:t>
            </w:r>
          </w:p>
        </w:tc>
        <w:tc>
          <w:tcPr>
            <w:tcW w:type="dxa" w:w="216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Software Vendor</w:t>
            </w:r>
          </w:p>
        </w:tc>
        <w:tc>
          <w:tcPr>
            <w:tcW w:type="dxa" w:w="360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Third-Party Java Library Maintainer — EOL library replacement requires code refactoring and regression testing</w:t>
            </w:r>
          </w:p>
        </w:tc>
        <w:tc>
          <w:tcPr>
            <w:tcW w:type="dxa" w:w="192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June 30, 2026</w:t>
            </w:r>
          </w:p>
        </w:tc>
        <w:tc>
          <w:tcPr>
            <w:tcW w:type="dxa" w:w="276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bCs/>
                <w:color w:val="375623"/>
                <w:sz w:val="20"/>
                <w:szCs w:val="20"/>
              </w:rPr>
              <w:t xml:space="preserve">Low — internal development team managing replacement</w:t>
            </w:r>
          </w:p>
        </w:tc>
      </w:tr>
      <w:tr>
        <w:tc>
          <w:tcPr>
            <w:tcW w:type="dxa" w:w="324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595959"/>
                <w:sz w:val="18"/>
                <w:szCs w:val="18"/>
              </w:rPr>
              <w:t xml:space="preserve">CV-FHX-POAM-2026-001</w:t>
            </w:r>
          </w:p>
        </w:tc>
        <w:tc>
          <w:tcPr>
            <w:tcW w:type="dxa" w:w="216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CVE Patch</w:t>
            </w:r>
          </w:p>
        </w:tc>
        <w:tc>
          <w:tcPr>
            <w:tcW w:type="dxa" w:w="36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Java Framework Vendor — CVE-2026-11842 patch compatibility testing across all three affected instances</w:t>
            </w:r>
          </w:p>
        </w:tc>
        <w:tc>
          <w:tcPr>
            <w:tcW w:type="dxa" w:w="192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center"/>
            </w:pPr>
            <w:r>
              <w:rPr>
                <w:rFonts w:ascii="Arial" w:cs="Arial" w:eastAsia="Arial" w:hAnsi="Arial"/>
                <w:b w:val="false"/>
                <w:bCs w:val="false"/>
                <w:color w:val="000000"/>
                <w:sz w:val="20"/>
                <w:szCs w:val="20"/>
              </w:rPr>
              <w:t xml:space="preserve">March 14, 2026</w:t>
            </w:r>
          </w:p>
        </w:tc>
        <w:tc>
          <w:tcPr>
            <w:tcW w:type="dxa" w:w="2760"/>
            <w:gridSpan w:val="1"/>
            <w:tcBorders>
              <w:top w:val="single" w:color="D9D9D9" w:sz="4"/>
              <w:left w:val="single" w:color="D9D9D9" w:sz="4"/>
              <w:bottom w:val="single" w:color="D9D9D9" w:sz="4"/>
              <w:right w:val="single" w:color="D9D9D9" w:sz="4"/>
            </w:tcBorders>
            <w:shd w:fill="E2EFDA" w:val="clear"/>
            <w:tcMar>
              <w:top w:type="dxa" w:w="100"/>
              <w:left w:type="dxa" w:w="160"/>
              <w:bottom w:type="dxa" w:w="100"/>
              <w:right w:type="dxa" w:w="160"/>
            </w:tcMar>
            <w:vAlign w:val="top"/>
          </w:tcPr>
          <w:p>
            <w:pPr>
              <w:spacing w:after="60" w:before="60"/>
              <w:jc w:val="left"/>
            </w:pPr>
            <w:r>
              <w:rPr>
                <w:rFonts w:ascii="Arial" w:cs="Arial" w:eastAsia="Arial" w:hAnsi="Arial"/>
                <w:b/>
                <w:bCs/>
                <w:color w:val="375623"/>
                <w:sz w:val="20"/>
                <w:szCs w:val="20"/>
              </w:rPr>
              <w:t xml:space="preserve">Low — patch available; compatibility testing in progress</w:t>
            </w:r>
          </w:p>
        </w:tc>
      </w:tr>
    </w:tbl>
    <w:p>
      <w:r>
        <w:br/>
      </w:r>
    </w:p>
    <w:p>
      <w:pPr>
        <w:pStyle w:val="Heading1"/>
        <w:spacing w:after="140" w:before="280"/>
      </w:pPr>
      <w:r>
        <w:rPr>
          <w:rFonts w:ascii="Arial" w:cs="Arial" w:eastAsia="Arial" w:hAnsi="Arial"/>
          <w:b/>
          <w:bCs/>
          <w:color w:val="1F3864"/>
          <w:sz w:val="32"/>
          <w:szCs w:val="32"/>
        </w:rPr>
        <w:t xml:space="preserve">10. Approval and Certification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0080"/>
      </w:tblGrid>
      <w:tr>
        <w:tc>
          <w:tcPr>
            <w:tcW w:type="dxa" w:w="13680"/>
            <w:gridSpan w:val="2"/>
            <w:tcBorders>
              <w:top w:val="single" w:color="1F3864" w:sz="12"/>
              <w:left w:val="single" w:color="1F3864" w:sz="12"/>
              <w:bottom w:val="single" w:color="1F3864" w:sz="12"/>
              <w:right w:val="single" w:color="1F3864" w:sz="12"/>
            </w:tcBorders>
            <w:shd w:fill="1F3864"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4"/>
                <w:szCs w:val="24"/>
              </w:rPr>
              <w:t xml:space="preserve">ISSO and ISSM Certification</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Name: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Enechi P.C. Njeze</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Title:</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Information System Security Officer (ISSO) and Information System Security Manager (ISSM)</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Organization:</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Federal Health Data Office (FHDO), CloudVault FHX Program</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Certifications:</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CGRC, CISA, CISM, PMP, PMI-RMP, CompTIA Security+ SY0-701, CHP, CSCS, CISSP (in progress)</w:t>
            </w:r>
          </w:p>
        </w:tc>
      </w:tr>
      <w:tr>
        <w:tc>
          <w:tcPr>
            <w:tcW w:type="dxa" w:w="13680"/>
            <w:gridSpan w:val="2"/>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 certify that the information contained in this Plan of Action and Milestones is accurate and complete to the best of my knowledge. All open weaknesses are being actively tracked and remediated in accordance with the timelines and milestones documented herein. All compensating controls listed in Section 8 are operational and have been verified by the ISSO.</w:t>
            </w:r>
          </w:p>
        </w:tc>
      </w:tr>
      <w:tr>
        <w:tc>
          <w:tcPr>
            <w:tcW w:type="dxa" w:w="72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400" w:before="400"/>
              <w:jc w:val="left"/>
            </w:pPr>
            <w:r>
              <w:rPr>
                <w:rFonts w:ascii="Arial" w:cs="Arial" w:eastAsia="Arial" w:hAnsi="Arial"/>
                <w:b w:val="false"/>
                <w:bCs w:val="false"/>
                <w:color w:val="000000"/>
                <w:sz w:val="20"/>
                <w:szCs w:val="20"/>
              </w:rPr>
              <w:t xml:space="preserve">Signature:  _________________________________________</w:t>
            </w:r>
          </w:p>
        </w:tc>
        <w:tc>
          <w:tcPr>
            <w:tcW w:type="dxa" w:w="64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400" w:before="400"/>
              <w:jc w:val="left"/>
            </w:pPr>
            <w:r>
              <w:rPr>
                <w:rFonts w:ascii="Arial" w:cs="Arial" w:eastAsia="Arial" w:hAnsi="Arial"/>
                <w:b w:val="false"/>
                <w:bCs w:val="false"/>
                <w:color w:val="000000"/>
                <w:sz w:val="20"/>
                <w:szCs w:val="20"/>
              </w:rPr>
              <w:t xml:space="preserve">Date:  ______________________________</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0080"/>
      </w:tblGrid>
      <w:tr>
        <w:tc>
          <w:tcPr>
            <w:tcW w:type="dxa" w:w="13680"/>
            <w:gridSpan w:val="2"/>
            <w:tcBorders>
              <w:top w:val="single" w:color="1F3864" w:sz="12"/>
              <w:left w:val="single" w:color="1F3864" w:sz="12"/>
              <w:bottom w:val="single" w:color="1F3864" w:sz="12"/>
              <w:right w:val="single" w:color="1F3864" w:sz="12"/>
            </w:tcBorders>
            <w:shd w:fill="1F3864"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4"/>
                <w:szCs w:val="24"/>
              </w:rPr>
              <w:t xml:space="preserve">Authorizing Official Review</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Name: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Henry Kline</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Title:</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Deputy Director and Authorizing Official (AO)</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Organization:</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Federal Health Data Office (FHDO)</w:t>
            </w:r>
          </w:p>
        </w:tc>
      </w:tr>
      <w:tr>
        <w:tc>
          <w:tcPr>
            <w:tcW w:type="dxa" w:w="13680"/>
            <w:gridSpan w:val="2"/>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 have reviewed the March 2026 POA&amp;M submission and concur with the risk posture described herein. The ongoing remediation of CV-FHX-POAM-2025-001 (Critical) continues to be monitored with heightened attention. The AO-approved extension through June 30, 2026 remains in effect subject to the milestone conditions documented in Section 4.1.</w:t>
            </w:r>
          </w:p>
        </w:tc>
      </w:tr>
      <w:tr>
        <w:tc>
          <w:tcPr>
            <w:tcW w:type="dxa" w:w="72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400" w:before="400"/>
              <w:jc w:val="left"/>
            </w:pPr>
            <w:r>
              <w:rPr>
                <w:rFonts w:ascii="Arial" w:cs="Arial" w:eastAsia="Arial" w:hAnsi="Arial"/>
                <w:b w:val="false"/>
                <w:bCs w:val="false"/>
                <w:color w:val="000000"/>
                <w:sz w:val="20"/>
                <w:szCs w:val="20"/>
              </w:rPr>
              <w:t xml:space="preserve">Signature:  _________________________________________</w:t>
            </w:r>
          </w:p>
        </w:tc>
        <w:tc>
          <w:tcPr>
            <w:tcW w:type="dxa" w:w="64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400" w:before="400"/>
              <w:jc w:val="left"/>
            </w:pPr>
            <w:r>
              <w:rPr>
                <w:rFonts w:ascii="Arial" w:cs="Arial" w:eastAsia="Arial" w:hAnsi="Arial"/>
                <w:b w:val="false"/>
                <w:bCs w:val="false"/>
                <w:color w:val="000000"/>
                <w:sz w:val="20"/>
                <w:szCs w:val="20"/>
              </w:rPr>
              <w:t xml:space="preserve">Date:  ______________________________</w:t>
            </w:r>
          </w:p>
        </w:tc>
      </w:tr>
    </w:tbl>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p>
      <w:pPr>
        <w:spacing w:after="0" w:before="0"/>
        <w:jc w:val="left"/>
      </w:pPr>
      <w:r>
        <w:rPr>
          <w:rFonts w:ascii="Arial" w:cs="Arial" w:eastAsia="Arial" w:hAnsi="Arial"/>
          <w:b w:val="false"/>
          <w:bCs w:val="false"/>
          <w:color w:val="000000"/>
          <w:sz w:val="10"/>
          <w:szCs w:val="10"/>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0080"/>
      </w:tblGrid>
      <w:tr>
        <w:tc>
          <w:tcPr>
            <w:tcW w:type="dxa" w:w="13680"/>
            <w:gridSpan w:val="2"/>
            <w:tcBorders>
              <w:top w:val="single" w:color="1F3864" w:sz="12"/>
              <w:left w:val="single" w:color="1F3864" w:sz="12"/>
              <w:bottom w:val="single" w:color="1F3864" w:sz="12"/>
              <w:right w:val="single" w:color="1F3864" w:sz="12"/>
            </w:tcBorders>
            <w:shd w:fill="1F3864"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24"/>
                <w:szCs w:val="24"/>
              </w:rPr>
              <w:t xml:space="preserve">SAISO Concurrence</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Name:</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Marcus T. Brennan</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Title:</w:t>
            </w:r>
          </w:p>
        </w:tc>
        <w:tc>
          <w:tcPr>
            <w:tcW w:type="dxa" w:w="10080"/>
            <w:gridSpan w:val="1"/>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Senior Agency Information Security Officer</w:t>
            </w:r>
          </w:p>
        </w:tc>
      </w:tr>
      <w:tr>
        <w:tc>
          <w:tcPr>
            <w:tcW w:type="dxa" w:w="3600"/>
            <w:gridSpan w:val="1"/>
            <w:tcBorders>
              <w:top w:val="single" w:color="D9D9D9" w:sz="4"/>
              <w:left w:val="single" w:color="D9D9D9" w:sz="4"/>
              <w:bottom w:val="single" w:color="D9D9D9" w:sz="4"/>
              <w:right w:val="single" w:color="D9D9D9" w:sz="4"/>
            </w:tcBorders>
            <w:shd w:fill="BDD7EE" w:val="clear"/>
            <w:tcMar>
              <w:top w:type="dxa" w:w="100"/>
              <w:left w:type="dxa" w:w="160"/>
              <w:bottom w:type="dxa" w:w="100"/>
              <w:right w:type="dxa" w:w="160"/>
            </w:tcMar>
            <w:vAlign w:val="top"/>
          </w:tcPr>
          <w:p>
            <w:pPr>
              <w:spacing w:after="60" w:before="60"/>
              <w:jc w:val="left"/>
            </w:pPr>
            <w:r>
              <w:rPr>
                <w:rFonts w:ascii="Arial" w:cs="Arial" w:eastAsia="Arial" w:hAnsi="Arial"/>
                <w:b/>
                <w:bCs/>
                <w:color w:val="1F3864"/>
                <w:sz w:val="20"/>
                <w:szCs w:val="20"/>
              </w:rPr>
              <w:t xml:space="preserve">Organization:</w:t>
            </w:r>
          </w:p>
        </w:tc>
        <w:tc>
          <w:tcPr>
            <w:tcW w:type="dxa" w:w="100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Federal Health Data Office (FHDO)</w:t>
            </w:r>
          </w:p>
        </w:tc>
      </w:tr>
      <w:tr>
        <w:tc>
          <w:tcPr>
            <w:tcW w:type="dxa" w:w="13680"/>
            <w:gridSpan w:val="2"/>
            <w:tcBorders>
              <w:top w:val="single" w:color="D9D9D9" w:sz="4"/>
              <w:left w:val="single" w:color="D9D9D9" w:sz="4"/>
              <w:bottom w:val="single" w:color="D9D9D9" w:sz="4"/>
              <w:right w:val="single" w:color="D9D9D9" w:sz="4"/>
            </w:tcBorders>
            <w:shd w:fill="F2F2F2"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000000"/>
                <w:sz w:val="20"/>
                <w:szCs w:val="20"/>
              </w:rPr>
              <w:t xml:space="preserve">I have reviewed and concur with the security risk posture and the POA&amp;M remediation status as documented in this report for the March 2026 reporting period.</w:t>
            </w:r>
          </w:p>
        </w:tc>
      </w:tr>
      <w:tr>
        <w:tc>
          <w:tcPr>
            <w:tcW w:type="dxa" w:w="720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400" w:before="400"/>
              <w:jc w:val="left"/>
            </w:pPr>
            <w:r>
              <w:rPr>
                <w:rFonts w:ascii="Arial" w:cs="Arial" w:eastAsia="Arial" w:hAnsi="Arial"/>
                <w:b w:val="false"/>
                <w:bCs w:val="false"/>
                <w:color w:val="000000"/>
                <w:sz w:val="20"/>
                <w:szCs w:val="20"/>
              </w:rPr>
              <w:t xml:space="preserve">Signature:  _________________________________________</w:t>
            </w:r>
          </w:p>
        </w:tc>
        <w:tc>
          <w:tcPr>
            <w:tcW w:type="dxa" w:w="6480"/>
            <w:gridSpan w:val="1"/>
            <w:tcBorders>
              <w:top w:val="single" w:color="D9D9D9" w:sz="4"/>
              <w:left w:val="single" w:color="D9D9D9" w:sz="4"/>
              <w:bottom w:val="single" w:color="D9D9D9" w:sz="4"/>
              <w:right w:val="single" w:color="D9D9D9" w:sz="4"/>
            </w:tcBorders>
            <w:shd w:fill="FFFFFF" w:val="clear"/>
            <w:tcMar>
              <w:top w:type="dxa" w:w="100"/>
              <w:left w:type="dxa" w:w="160"/>
              <w:bottom w:type="dxa" w:w="100"/>
              <w:right w:type="dxa" w:w="160"/>
            </w:tcMar>
            <w:vAlign w:val="top"/>
          </w:tcPr>
          <w:p>
            <w:pPr>
              <w:spacing w:after="400" w:before="400"/>
              <w:jc w:val="left"/>
            </w:pPr>
            <w:r>
              <w:rPr>
                <w:rFonts w:ascii="Arial" w:cs="Arial" w:eastAsia="Arial" w:hAnsi="Arial"/>
                <w:b w:val="false"/>
                <w:bCs w:val="false"/>
                <w:color w:val="000000"/>
                <w:sz w:val="20"/>
                <w:szCs w:val="20"/>
              </w:rPr>
              <w:t xml:space="preserve">Date:  ______________________________</w:t>
            </w:r>
          </w:p>
        </w:tc>
      </w:tr>
    </w:tbl>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b w:val="false"/>
        <w:bCs w:val="false"/>
        <w:color w:val="000000"/>
        <w:sz w:val="16"/>
        <w:szCs w:val="16"/>
      </w:rPr>
      <w:t xml:space="preserve">UNCLASSIFIED // FOR OFFICIAL USE ONLY (FOUO)  |  Reporting Period: March 1–31, 2026  |  Next Submission Due: April 30,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gridSpan w:val="1"/>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vAlign w:val="top"/>
        </w:tcPr>
        <w:p>
          <w:pPr>
            <w:spacing w:after="60" w:before="60"/>
            <w:jc w:val="center"/>
          </w:pPr>
          <w:r>
            <w:rPr>
              <w:rFonts w:ascii="Arial" w:cs="Arial" w:eastAsia="Arial" w:hAnsi="Arial"/>
              <w:b/>
              <w:bCs/>
              <w:color w:val="FFFFFF"/>
              <w:sz w:val="18"/>
              <w:szCs w:val="18"/>
            </w:rPr>
            <w:t xml:space="preserve">CV-FHX-POAM-001 v2.1  |  CloudVault FHX POA&amp;M Master Tracker  |  UNCLASSIFIED//FOUO  |  ISSO: Enechi P.C. Njeze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2026-04-29T03:58:27.454Z</dcterms:created>
  <dcterms:modified xsi:type="dcterms:W3CDTF">2026-04-29T03:58:27.455Z</dcterms:modified>
</cp:coreProperties>
</file>

<file path=docProps/custom.xml><?xml version="1.0" encoding="utf-8"?>
<Properties xmlns="http://schemas.openxmlformats.org/officeDocument/2006/custom-properties" xmlns:vt="http://schemas.openxmlformats.org/officeDocument/2006/docPropsVTypes"/>
</file>