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233"/>
          <w:sz w:val="30"/>
          <w:szCs w:val="30"/>
        </w:rPr>
        <w:t xml:space="preserve">MaiHoonNa Eldercare Private Limited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Caring for the people who cared for us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Refund Policy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Last updated: [insert date on publish]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1. Renewal &amp; Cancellation</w:t>
      </w:r>
    </w:p>
    <w:p>
      <w:pPr>
        <w:spacing w:after="130"/>
      </w:pPr>
      <w:r>
        <w:rPr>
          <w:b/>
          <w:bCs/>
          <w:color w:val="222222"/>
        </w:rPr>
        <w:t xml:space="preserve">1.1  </w:t>
      </w:r>
      <w:r>
        <w:t xml:space="preserve">Subscriptions do not auto-renew. The Subscriber must actively renew before the expiry of the current Subscription period via the App.</w:t>
      </w:r>
    </w:p>
    <w:p>
      <w:pPr>
        <w:spacing w:after="130"/>
      </w:pPr>
      <w:r>
        <w:rPr>
          <w:b/>
          <w:bCs/>
          <w:color w:val="222222"/>
        </w:rPr>
        <w:t xml:space="preserve">1.2  </w:t>
      </w:r>
      <w:r>
        <w:t xml:space="preserve">The Subscriber may cancel the Subscription at any time by submitting a written cancellation request via care@maihoonna.com.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2. Refund Calculation &amp; Processing</w:t>
      </w:r>
    </w:p>
    <w:p>
      <w:pPr>
        <w:spacing w:after="130"/>
      </w:pPr>
      <w:r>
        <w:rPr>
          <w:b/>
          <w:bCs/>
          <w:color w:val="222222"/>
        </w:rPr>
        <w:t xml:space="preserve">2.1  </w:t>
      </w:r>
      <w:r>
        <w:t xml:space="preserve">Refunds shall be calculated as follows: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Cancellation within 7 days of activation and before the first Mitra visit: full refund, less payment gateway charges.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Cancellation after first Mitra visit but before 50% of Hours consumed: refund of the value of unused Hours at the per-hour rate of the package, less 10% administrative charge and benefits consumed.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Cancellation after 50% or more of Hours consumed: no refund.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Starter package: no refund once any Hours are consumed.</w:t>
      </w:r>
    </w:p>
    <w:p>
      <w:pPr>
        <w:spacing w:after="80"/>
      </w:pPr>
    </w:p>
    <w:p>
      <w:pPr>
        <w:spacing w:after="130"/>
      </w:pPr>
      <w:r>
        <w:rPr>
          <w:b/>
          <w:bCs/>
          <w:color w:val="222222"/>
        </w:rPr>
        <w:t xml:space="preserve">2.2  </w:t>
      </w:r>
      <w:r>
        <w:t xml:space="preserve">Refunds, where applicable, shall be processed to the original payment instrument within 7–10 business days of the cancellation confirmation.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3. Termination</w:t>
      </w:r>
    </w:p>
    <w:p>
      <w:pPr>
        <w:spacing w:after="130"/>
      </w:pPr>
      <w:r>
        <w:rPr>
          <w:b/>
          <w:bCs/>
          <w:color w:val="222222"/>
        </w:rPr>
        <w:t xml:space="preserve">3.1  </w:t>
      </w:r>
      <w:r>
        <w:t xml:space="preserve">MaiHoonNa reserves the right to terminate the Subscription with 7 days' written notice in the event of a material breach of these T&amp;C by the Subscriber, NOK, or any person at the Beneficiary's residence.</w:t>
      </w:r>
    </w:p>
    <w:p>
      <w:pPr>
        <w:spacing w:after="130"/>
      </w:pPr>
      <w:r>
        <w:rPr>
          <w:b/>
          <w:bCs/>
          <w:color w:val="222222"/>
        </w:rPr>
        <w:t xml:space="preserve">3.2  </w:t>
      </w:r>
      <w:r>
        <w:t xml:space="preserve">MaiHoonNa may terminate the Subscription immediately, without notice, if: (a) the Beneficiary is found to be suffering from an undisclosed communicable disease; (b) any member of the Subscriber's household physically threatens or harms a Care Mitra; or (c) the Subscriber engages in fraudulent or illegal activity in connection with the Subscription.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MaiHoonNa Eldercare Private Limited  |  care@maihoonna.com  |  www.maihoonna.com  |  Gurugram, Haryana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2026-09-14T06:40:37.030Z</dcterms:created>
  <dcterms:modified xsi:type="dcterms:W3CDTF">2026-09-14T06:40:37.030Z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