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F3C2D" w14:textId="77777777" w:rsidR="009A47F9" w:rsidRDefault="00000000">
      <w:pPr>
        <w:spacing w:after="40"/>
        <w:jc w:val="center"/>
      </w:pPr>
      <w:r>
        <w:rPr>
          <w:b/>
          <w:bCs/>
          <w:color w:val="2F5233"/>
          <w:sz w:val="30"/>
          <w:szCs w:val="30"/>
        </w:rPr>
        <w:t>MaiHoonNa Eldercare Private Limited</w:t>
      </w:r>
    </w:p>
    <w:p w14:paraId="7EE44311" w14:textId="77777777" w:rsidR="009A47F9" w:rsidRDefault="00000000">
      <w:pPr>
        <w:spacing w:after="200"/>
        <w:jc w:val="center"/>
      </w:pPr>
      <w:r>
        <w:rPr>
          <w:i/>
          <w:iCs/>
          <w:color w:val="666666"/>
          <w:sz w:val="20"/>
          <w:szCs w:val="20"/>
        </w:rPr>
        <w:t>Caring for the people who cared for us</w:t>
      </w:r>
    </w:p>
    <w:p w14:paraId="15EDD046" w14:textId="77777777" w:rsidR="009A47F9" w:rsidRDefault="00000000">
      <w:pPr>
        <w:spacing w:after="60"/>
        <w:jc w:val="center"/>
      </w:pPr>
      <w:r>
        <w:rPr>
          <w:b/>
          <w:bCs/>
          <w:sz w:val="32"/>
          <w:szCs w:val="32"/>
        </w:rPr>
        <w:t>Saathi Network — Volunteer Terms &amp; Conditions</w:t>
      </w:r>
    </w:p>
    <w:p w14:paraId="5F5BD2E3" w14:textId="77777777" w:rsidR="009A47F9" w:rsidRDefault="00000000">
      <w:pPr>
        <w:spacing w:after="300"/>
        <w:jc w:val="center"/>
      </w:pPr>
      <w:r>
        <w:rPr>
          <w:i/>
          <w:iCs/>
          <w:color w:val="666666"/>
          <w:sz w:val="20"/>
          <w:szCs w:val="20"/>
        </w:rPr>
        <w:t>Last updated: [insert date on publish]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9A47F9" w14:paraId="6CA40CA9" w14:textId="77777777">
        <w:tblPrEx>
          <w:tblCellMar>
            <w:top w:w="0" w:type="dxa"/>
            <w:bottom w:w="0" w:type="dxa"/>
          </w:tblCellMar>
        </w:tblPrEx>
        <w:tc>
          <w:tcPr>
            <w:tcW w:w="0" w:type="auto"/>
            <w:tcBorders>
              <w:top w:val="single" w:sz="4" w:space="0" w:color="2F5233"/>
              <w:left w:val="single" w:sz="4" w:space="0" w:color="2F5233"/>
              <w:bottom w:val="single" w:sz="4" w:space="0" w:color="2F5233"/>
              <w:right w:val="single" w:sz="4" w:space="0" w:color="2F5233"/>
            </w:tcBorders>
            <w:shd w:val="clear" w:color="auto" w:fill="EAF2E8"/>
            <w:tcMar>
              <w:top w:w="140" w:type="dxa"/>
              <w:left w:w="180" w:type="dxa"/>
              <w:bottom w:w="140" w:type="dxa"/>
              <w:right w:w="180" w:type="dxa"/>
            </w:tcMar>
          </w:tcPr>
          <w:p w14:paraId="60B636EA" w14:textId="77777777" w:rsidR="009A47F9" w:rsidRDefault="00000000">
            <w:pPr>
              <w:spacing w:after="60"/>
              <w:jc w:val="center"/>
            </w:pPr>
            <w:r>
              <w:rPr>
                <w:b/>
                <w:bCs/>
                <w:color w:val="1E3A1E"/>
                <w:sz w:val="22"/>
                <w:szCs w:val="22"/>
              </w:rPr>
              <w:t>SAATHI NETWORK</w:t>
            </w:r>
          </w:p>
          <w:p w14:paraId="496590CA" w14:textId="77777777" w:rsidR="009A47F9" w:rsidRDefault="00000000">
            <w:pPr>
              <w:spacing w:after="60"/>
              <w:jc w:val="center"/>
            </w:pPr>
            <w:r>
              <w:rPr>
                <w:b/>
                <w:bCs/>
                <w:color w:val="1E3A1E"/>
                <w:sz w:val="20"/>
                <w:szCs w:val="20"/>
              </w:rPr>
              <w:t>VOLUNTEER TERMS &amp; CONDITIONS</w:t>
            </w:r>
          </w:p>
          <w:p w14:paraId="587070CB" w14:textId="77777777" w:rsidR="009A47F9" w:rsidRDefault="00000000">
            <w:pPr>
              <w:jc w:val="center"/>
            </w:pPr>
            <w:r>
              <w:rPr>
                <w:i/>
                <w:iCs/>
                <w:color w:val="1E3A1E"/>
                <w:sz w:val="20"/>
                <w:szCs w:val="20"/>
              </w:rPr>
              <w:t>These Terms govern participation in the Saathi Network, MaiHoonNa's community companionship programme connecting volunteer companions (“Saathis”) with senior citizen beneficiaries. By submitting the Saathi Network enrolment form in the MaiHoonNa app and completing the consent steps within it, you agree to be bound by these Terms.</w:t>
            </w:r>
          </w:p>
        </w:tc>
      </w:tr>
    </w:tbl>
    <w:p w14:paraId="6C86A554" w14:textId="77777777" w:rsidR="009A47F9" w:rsidRDefault="009A47F9">
      <w:pPr>
        <w:spacing w:after="160"/>
      </w:pPr>
    </w:p>
    <w:p w14:paraId="43D8D226" w14:textId="77777777" w:rsidR="009A47F9" w:rsidRDefault="00000000">
      <w:pPr>
        <w:spacing w:after="130"/>
      </w:pPr>
      <w:r>
        <w:t>These Terms work alongside, and do not replace, the Background Verification (BGV) Consent Form, the Saathi Empathy &amp; Situational Judgment screening, and MaiHoonNa's Safeguarding and Data Protection policies referenced below.</w:t>
      </w:r>
    </w:p>
    <w:p w14:paraId="7002DA23" w14:textId="77777777" w:rsidR="009A47F9" w:rsidRDefault="00000000">
      <w:pPr>
        <w:pStyle w:val="Heading1"/>
        <w:spacing w:before="320" w:after="140"/>
      </w:pPr>
      <w:r>
        <w:rPr>
          <w:b/>
          <w:bCs/>
          <w:color w:val="2F5233"/>
          <w:sz w:val="24"/>
          <w:szCs w:val="24"/>
        </w:rPr>
        <w:t>1. Eligibility</w:t>
      </w:r>
    </w:p>
    <w:p w14:paraId="387764DB" w14:textId="77777777" w:rsidR="009A47F9" w:rsidRDefault="00000000">
      <w:pPr>
        <w:spacing w:after="130"/>
      </w:pPr>
      <w:r>
        <w:rPr>
          <w:b/>
          <w:bCs/>
          <w:color w:val="222222"/>
        </w:rPr>
        <w:t xml:space="preserve">1.1  </w:t>
      </w:r>
      <w:r>
        <w:t>Age</w:t>
      </w:r>
    </w:p>
    <w:p w14:paraId="5764EE03" w14:textId="77777777" w:rsidR="009A47F9" w:rsidRDefault="00000000">
      <w:pPr>
        <w:pStyle w:val="ListParagraph"/>
        <w:numPr>
          <w:ilvl w:val="0"/>
          <w:numId w:val="2"/>
        </w:numPr>
        <w:spacing w:after="80"/>
      </w:pPr>
      <w:r>
        <w:t>Minimum age for solo, unaccompanied home visits: 21 years.</w:t>
      </w:r>
    </w:p>
    <w:p w14:paraId="560BDBBB" w14:textId="77777777" w:rsidR="009A47F9" w:rsidRDefault="00000000">
      <w:pPr>
        <w:pStyle w:val="ListParagraph"/>
        <w:numPr>
          <w:ilvl w:val="0"/>
          <w:numId w:val="2"/>
        </w:numPr>
        <w:spacing w:after="80"/>
      </w:pPr>
      <w:r>
        <w:t>No maximum age. Retired seniors are welcome and encouraged to apply as Saathis; a self-declared physical fitness/limitations questionnaire is used in place of an age ceiling, reviewed by the Operations Manager at enrolment.</w:t>
      </w:r>
    </w:p>
    <w:p w14:paraId="1FF96B54" w14:textId="77777777" w:rsidR="009A47F9" w:rsidRDefault="00000000">
      <w:pPr>
        <w:pStyle w:val="ListParagraph"/>
        <w:numPr>
          <w:ilvl w:val="0"/>
          <w:numId w:val="2"/>
        </w:numPr>
        <w:spacing w:after="80"/>
      </w:pPr>
      <w:r>
        <w:t>Applicants aged 18–20 may participate through a Campus/Group track and require parent or guardian consent as part of enrolment.</w:t>
      </w:r>
    </w:p>
    <w:p w14:paraId="3E97398D" w14:textId="77777777" w:rsidR="009A47F9" w:rsidRDefault="00000000">
      <w:pPr>
        <w:spacing w:after="130"/>
      </w:pPr>
      <w:r>
        <w:rPr>
          <w:b/>
          <w:bCs/>
          <w:color w:val="222222"/>
        </w:rPr>
        <w:t xml:space="preserve">1.2  </w:t>
      </w:r>
      <w:r>
        <w:t>Other Eligibility Requirements</w:t>
      </w:r>
    </w:p>
    <w:p w14:paraId="4A87AD5D" w14:textId="77777777" w:rsidR="009A47F9" w:rsidRDefault="00000000">
      <w:pPr>
        <w:pStyle w:val="ListParagraph"/>
        <w:numPr>
          <w:ilvl w:val="0"/>
          <w:numId w:val="2"/>
        </w:numPr>
        <w:spacing w:after="80"/>
      </w:pPr>
      <w:r>
        <w:t>Indian resident with a valid government-issued photo ID (Aadhaar and/or PAN) for identity and background verification.</w:t>
      </w:r>
    </w:p>
    <w:p w14:paraId="5212AC24" w14:textId="77777777" w:rsidR="009A47F9" w:rsidRDefault="00000000">
      <w:pPr>
        <w:pStyle w:val="ListParagraph"/>
        <w:numPr>
          <w:ilvl w:val="0"/>
          <w:numId w:val="2"/>
        </w:numPr>
        <w:spacing w:after="80"/>
      </w:pPr>
      <w:r>
        <w:t>Able to provide current address proof and at least one personal (non-family) reference.</w:t>
      </w:r>
    </w:p>
    <w:p w14:paraId="3162B560" w14:textId="77777777" w:rsidR="009A47F9" w:rsidRDefault="00000000">
      <w:pPr>
        <w:pStyle w:val="ListParagraph"/>
        <w:numPr>
          <w:ilvl w:val="0"/>
          <w:numId w:val="2"/>
        </w:numPr>
        <w:spacing w:after="80"/>
      </w:pPr>
      <w:r>
        <w:t>Reside within, or be able to regularly travel to, the MaiHoonNa geography.</w:t>
      </w:r>
    </w:p>
    <w:p w14:paraId="32D4E49D" w14:textId="77777777" w:rsidR="009A47F9" w:rsidRDefault="00000000">
      <w:pPr>
        <w:pStyle w:val="ListParagraph"/>
        <w:numPr>
          <w:ilvl w:val="0"/>
          <w:numId w:val="2"/>
        </w:numPr>
        <w:spacing w:after="80"/>
      </w:pPr>
      <w:r>
        <w:t>Successful completion of Background Verification (BGV), the Saathi orientation, and the Empathy &amp; Situational Judgment screening before any beneficiary is assigned.</w:t>
      </w:r>
    </w:p>
    <w:p w14:paraId="2C53327A" w14:textId="77777777" w:rsidR="009A47F9" w:rsidRDefault="00000000">
      <w:pPr>
        <w:pStyle w:val="Heading1"/>
        <w:spacing w:before="320" w:after="140"/>
      </w:pPr>
      <w:r>
        <w:rPr>
          <w:b/>
          <w:bCs/>
          <w:color w:val="2F5233"/>
          <w:sz w:val="24"/>
          <w:szCs w:val="24"/>
        </w:rPr>
        <w:t>2. Nature of the Relationship</w:t>
      </w:r>
    </w:p>
    <w:p w14:paraId="0EC44B30" w14:textId="77777777" w:rsidR="009A47F9" w:rsidRDefault="00000000">
      <w:pPr>
        <w:spacing w:after="130"/>
      </w:pPr>
      <w:r>
        <w:rPr>
          <w:b/>
          <w:bCs/>
          <w:color w:val="222222"/>
        </w:rPr>
        <w:t xml:space="preserve">2.1  </w:t>
      </w:r>
      <w:r>
        <w:t>Voluntary Service: Participation in the Saathi Network is purely voluntary, honorary community service undertaken out of civic duty and empathy. These Terms do not create an employer-employee relationship, a contract of service, a principal-agent relationship, or industrial worker status under Indian labour law.</w:t>
      </w:r>
    </w:p>
    <w:p w14:paraId="1B853440" w14:textId="77777777" w:rsidR="009A47F9" w:rsidRDefault="00000000">
      <w:pPr>
        <w:spacing w:after="130"/>
      </w:pPr>
      <w:r>
        <w:rPr>
          <w:b/>
          <w:bCs/>
          <w:color w:val="222222"/>
        </w:rPr>
        <w:t xml:space="preserve">2.2  </w:t>
      </w:r>
      <w:r>
        <w:t>No Entitlement to Wages: Saathis acknowledge that they are not employees of MaiHoonNa Eldercare Private Limited and are not entitled to any salary, wages, minimum wage protections, bonus, gratuity, provident fund (EPF), ESIC, or any other statutory benefit.</w:t>
      </w:r>
    </w:p>
    <w:p w14:paraId="60323D7C" w14:textId="77777777" w:rsidR="009A47F9" w:rsidRDefault="00000000">
      <w:pPr>
        <w:spacing w:after="130"/>
      </w:pPr>
      <w:r>
        <w:rPr>
          <w:b/>
          <w:bCs/>
          <w:color w:val="222222"/>
        </w:rPr>
        <w:t xml:space="preserve">2.3  </w:t>
      </w:r>
      <w:r>
        <w:t>Complete Flexibility: Saathis retain complete autonomy over their availability. Participation is entirely at the discretion of the Saathi, with no mandatory minimum hours, fixed shifts, or exclusivity restrictions.</w:t>
      </w:r>
    </w:p>
    <w:p w14:paraId="026DADC5" w14:textId="77777777" w:rsidR="009A47F9" w:rsidRDefault="00000000">
      <w:pPr>
        <w:pStyle w:val="Heading1"/>
        <w:spacing w:before="320" w:after="140"/>
      </w:pPr>
      <w:r>
        <w:rPr>
          <w:b/>
          <w:bCs/>
          <w:color w:val="2F5233"/>
          <w:sz w:val="24"/>
          <w:szCs w:val="24"/>
        </w:rPr>
        <w:t>3. Saathi Credits</w:t>
      </w:r>
    </w:p>
    <w:p w14:paraId="44B00B60" w14:textId="77777777" w:rsidR="009A47F9" w:rsidRDefault="00000000">
      <w:pPr>
        <w:spacing w:after="130"/>
      </w:pPr>
      <w:r>
        <w:t>Saathis earn Credits for verified companionship hours logged through the MaiHoonNa app, in accordance with the separate Saathi Credits Policy. The following principles apply:</w:t>
      </w:r>
    </w:p>
    <w:p w14:paraId="30B12D2E" w14:textId="77777777" w:rsidR="009A47F9" w:rsidRDefault="00000000">
      <w:pPr>
        <w:pStyle w:val="ListParagraph"/>
        <w:numPr>
          <w:ilvl w:val="0"/>
          <w:numId w:val="2"/>
        </w:numPr>
        <w:spacing w:after="80"/>
      </w:pPr>
      <w:r>
        <w:lastRenderedPageBreak/>
        <w:t>Credits accrue only for hours logged and verified through the app's check-in/check-out (or approved manual override) process — the same encounter-tracking mechanism used for Care Companions.</w:t>
      </w:r>
    </w:p>
    <w:p w14:paraId="181F1D3F" w14:textId="77777777" w:rsidR="009A47F9" w:rsidRDefault="00000000">
      <w:pPr>
        <w:pStyle w:val="ListParagraph"/>
        <w:numPr>
          <w:ilvl w:val="0"/>
          <w:numId w:val="2"/>
        </w:numPr>
        <w:spacing w:after="80"/>
      </w:pPr>
      <w:r>
        <w:t>Credits do not constitute monetary compensation, wages, or remuneration for services rendered.</w:t>
      </w:r>
    </w:p>
    <w:p w14:paraId="7CB1C410" w14:textId="77777777" w:rsidR="009A47F9" w:rsidRDefault="00000000">
      <w:pPr>
        <w:pStyle w:val="ListParagraph"/>
        <w:numPr>
          <w:ilvl w:val="0"/>
          <w:numId w:val="2"/>
        </w:numPr>
        <w:spacing w:after="80"/>
      </w:pPr>
      <w:r>
        <w:t>Credits carry no fixed cash exchange value, cannot be converted into liquid currency, and cannot be transferred or assigned. Redemption options are governed strictly by the separate Saathi Credits Policy.</w:t>
      </w:r>
    </w:p>
    <w:p w14:paraId="4ABB9345" w14:textId="77777777" w:rsidR="009A47F9" w:rsidRDefault="00000000">
      <w:pPr>
        <w:pStyle w:val="ListParagraph"/>
        <w:numPr>
          <w:ilvl w:val="0"/>
          <w:numId w:val="2"/>
        </w:numPr>
        <w:spacing w:after="80"/>
      </w:pPr>
      <w:r>
        <w:t>MaiHoonNa reserves the right to adjust the Credits structure with reasonable advance notice to active Saathis.</w:t>
      </w:r>
    </w:p>
    <w:p w14:paraId="190DA8D8" w14:textId="77777777" w:rsidR="009A47F9" w:rsidRDefault="00000000">
      <w:pPr>
        <w:pStyle w:val="ListParagraph"/>
        <w:numPr>
          <w:ilvl w:val="0"/>
          <w:numId w:val="2"/>
        </w:numPr>
        <w:spacing w:after="80"/>
      </w:pPr>
      <w:r>
        <w:t>Credits are personal to the Saathi, non-transferable, and forfeited on termination for cause (Section 9).</w:t>
      </w:r>
    </w:p>
    <w:p w14:paraId="3C1313BA" w14:textId="77777777" w:rsidR="009A47F9" w:rsidRDefault="00000000">
      <w:pPr>
        <w:pStyle w:val="Heading1"/>
        <w:spacing w:before="320" w:after="140"/>
      </w:pPr>
      <w:r>
        <w:rPr>
          <w:b/>
          <w:bCs/>
          <w:color w:val="2F5233"/>
          <w:sz w:val="24"/>
          <w:szCs w:val="24"/>
        </w:rPr>
        <w:t>4. Background Verification &amp; Consent</w:t>
      </w:r>
    </w:p>
    <w:p w14:paraId="42E89552" w14:textId="77777777" w:rsidR="009A47F9" w:rsidRDefault="00000000">
      <w:pPr>
        <w:pStyle w:val="ListParagraph"/>
        <w:numPr>
          <w:ilvl w:val="0"/>
          <w:numId w:val="2"/>
        </w:numPr>
        <w:spacing w:after="80"/>
      </w:pPr>
      <w:r>
        <w:t>Every applicant must sign the BGV Consent Form and complete identity, address, and reference verification before approval.</w:t>
      </w:r>
    </w:p>
    <w:p w14:paraId="6FB540F4" w14:textId="77777777" w:rsidR="009A47F9" w:rsidRDefault="00000000">
      <w:pPr>
        <w:pStyle w:val="ListParagraph"/>
        <w:numPr>
          <w:ilvl w:val="0"/>
          <w:numId w:val="2"/>
        </w:numPr>
        <w:spacing w:after="80"/>
      </w:pPr>
      <w:r>
        <w:t>MaiHoonNa's empanelled BGV agency conducts the checks; results are confidential and are not shared with the applicant.</w:t>
      </w:r>
    </w:p>
    <w:p w14:paraId="1789CC80" w14:textId="77777777" w:rsidR="009A47F9" w:rsidRDefault="00000000">
      <w:pPr>
        <w:pStyle w:val="ListParagraph"/>
        <w:numPr>
          <w:ilvl w:val="0"/>
          <w:numId w:val="2"/>
        </w:numPr>
        <w:spacing w:after="80"/>
      </w:pPr>
      <w:r>
        <w:t>A clear BGV outcome, Saathi Coordinator approval, and completed orientation are all required before a Saathi is activated in the app or matched to any beneficiary.</w:t>
      </w:r>
    </w:p>
    <w:p w14:paraId="1C7707B8" w14:textId="77777777" w:rsidR="009A47F9" w:rsidRDefault="00000000">
      <w:pPr>
        <w:pStyle w:val="ListParagraph"/>
        <w:numPr>
          <w:ilvl w:val="0"/>
          <w:numId w:val="2"/>
        </w:numPr>
        <w:spacing w:after="80"/>
      </w:pPr>
      <w:r>
        <w:t>Saathis agree to re-verification at a frequency set by MaiHoonNa.</w:t>
      </w:r>
    </w:p>
    <w:p w14:paraId="1D6FE0AF" w14:textId="77777777" w:rsidR="009A47F9" w:rsidRDefault="00000000">
      <w:pPr>
        <w:pStyle w:val="Heading1"/>
        <w:spacing w:before="320" w:after="140"/>
      </w:pPr>
      <w:r>
        <w:rPr>
          <w:b/>
          <w:bCs/>
          <w:color w:val="2F5233"/>
          <w:sz w:val="24"/>
          <w:szCs w:val="24"/>
        </w:rPr>
        <w:t>5. Code of Conduct</w:t>
      </w:r>
    </w:p>
    <w:p w14:paraId="680B4DF2" w14:textId="77777777" w:rsidR="009A47F9" w:rsidRDefault="00000000">
      <w:pPr>
        <w:spacing w:after="130"/>
      </w:pPr>
      <w:r>
        <w:t>Every Saathi is expected to uphold the following at all times during any MaiHoonNa-arranged interaction: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7272"/>
      </w:tblGrid>
      <w:tr w:rsidR="009A47F9" w14:paraId="77E2A749" w14:textId="77777777">
        <w:tblPrEx>
          <w:tblCellMar>
            <w:top w:w="0" w:type="dxa"/>
            <w:bottom w:w="0" w:type="dxa"/>
          </w:tblCellMar>
        </w:tblPrEx>
        <w:trPr>
          <w:tblHeader/>
        </w:trPr>
        <w:tc>
          <w:tcPr>
            <w:tcW w:w="1250" w:type="pct"/>
            <w:shd w:val="clear" w:color="auto" w:fill="2F5233"/>
            <w:tcMar>
              <w:top w:w="100" w:type="dxa"/>
              <w:left w:w="120" w:type="dxa"/>
              <w:bottom w:w="100" w:type="dxa"/>
              <w:right w:w="120" w:type="dxa"/>
            </w:tcMar>
          </w:tcPr>
          <w:p w14:paraId="14BA3BD8" w14:textId="77777777" w:rsidR="009A47F9" w:rsidRDefault="00000000">
            <w:r>
              <w:rPr>
                <w:b/>
                <w:bCs/>
                <w:color w:val="FFFFFF"/>
              </w:rPr>
              <w:t>Principle</w:t>
            </w:r>
          </w:p>
        </w:tc>
        <w:tc>
          <w:tcPr>
            <w:tcW w:w="3750" w:type="pct"/>
            <w:shd w:val="clear" w:color="auto" w:fill="2F5233"/>
            <w:tcMar>
              <w:top w:w="100" w:type="dxa"/>
              <w:left w:w="120" w:type="dxa"/>
              <w:bottom w:w="100" w:type="dxa"/>
              <w:right w:w="120" w:type="dxa"/>
            </w:tcMar>
          </w:tcPr>
          <w:p w14:paraId="47969BC5" w14:textId="77777777" w:rsidR="009A47F9" w:rsidRDefault="00000000">
            <w:r>
              <w:rPr>
                <w:b/>
                <w:bCs/>
                <w:color w:val="FFFFFF"/>
              </w:rPr>
              <w:t>What It Means in Practice</w:t>
            </w:r>
          </w:p>
        </w:tc>
      </w:tr>
      <w:tr w:rsidR="009A47F9" w14:paraId="2C45003E" w14:textId="77777777">
        <w:tblPrEx>
          <w:tblCellMar>
            <w:top w:w="0" w:type="dxa"/>
            <w:bottom w:w="0" w:type="dxa"/>
          </w:tblCellMar>
        </w:tblPrEx>
        <w:tc>
          <w:tcPr>
            <w:tcW w:w="1250" w:type="pct"/>
            <w:tcMar>
              <w:top w:w="100" w:type="dxa"/>
              <w:left w:w="120" w:type="dxa"/>
              <w:bottom w:w="100" w:type="dxa"/>
              <w:right w:w="120" w:type="dxa"/>
            </w:tcMar>
          </w:tcPr>
          <w:p w14:paraId="4D3889BD" w14:textId="77777777" w:rsidR="009A47F9" w:rsidRDefault="00000000">
            <w:r>
              <w:rPr>
                <w:b/>
                <w:bCs/>
                <w:color w:val="222222"/>
              </w:rPr>
              <w:t>Dignity</w:t>
            </w:r>
          </w:p>
        </w:tc>
        <w:tc>
          <w:tcPr>
            <w:tcW w:w="3750" w:type="pct"/>
            <w:tcMar>
              <w:top w:w="100" w:type="dxa"/>
              <w:left w:w="120" w:type="dxa"/>
              <w:bottom w:w="100" w:type="dxa"/>
              <w:right w:w="120" w:type="dxa"/>
            </w:tcMar>
          </w:tcPr>
          <w:p w14:paraId="0D08F8FF" w14:textId="77777777" w:rsidR="009A47F9" w:rsidRDefault="00000000">
            <w:r>
              <w:rPr>
                <w:color w:val="222222"/>
              </w:rPr>
              <w:t>Treat every beneficiary with the same respect you would give a loved elder in your own family. Address them respectfully and by their preferred name or title.</w:t>
            </w:r>
          </w:p>
        </w:tc>
      </w:tr>
      <w:tr w:rsidR="009A47F9" w14:paraId="64A01918" w14:textId="77777777">
        <w:tblPrEx>
          <w:tblCellMar>
            <w:top w:w="0" w:type="dxa"/>
            <w:bottom w:w="0" w:type="dxa"/>
          </w:tblCellMar>
        </w:tblPrEx>
        <w:tc>
          <w:tcPr>
            <w:tcW w:w="1250" w:type="pct"/>
            <w:tcMar>
              <w:top w:w="100" w:type="dxa"/>
              <w:left w:w="120" w:type="dxa"/>
              <w:bottom w:w="100" w:type="dxa"/>
              <w:right w:w="120" w:type="dxa"/>
            </w:tcMar>
          </w:tcPr>
          <w:p w14:paraId="6E270770" w14:textId="77777777" w:rsidR="009A47F9" w:rsidRDefault="00000000">
            <w:r>
              <w:rPr>
                <w:b/>
                <w:bCs/>
                <w:color w:val="222222"/>
              </w:rPr>
              <w:t>Presence</w:t>
            </w:r>
          </w:p>
        </w:tc>
        <w:tc>
          <w:tcPr>
            <w:tcW w:w="3750" w:type="pct"/>
            <w:tcMar>
              <w:top w:w="100" w:type="dxa"/>
              <w:left w:w="120" w:type="dxa"/>
              <w:bottom w:w="100" w:type="dxa"/>
              <w:right w:w="120" w:type="dxa"/>
            </w:tcMar>
          </w:tcPr>
          <w:p w14:paraId="6A554760" w14:textId="77777777" w:rsidR="009A47F9" w:rsidRDefault="00000000">
            <w:r>
              <w:rPr>
                <w:color w:val="222222"/>
              </w:rPr>
              <w:t>Be fully present during a visit — no phone use, personal errands, or distractions beyond genuine emergencies. Stay for the agreed duration; do not leave a beneficiary alone in a public place without informing MaiHoonNa.</w:t>
            </w:r>
          </w:p>
        </w:tc>
      </w:tr>
      <w:tr w:rsidR="009A47F9" w14:paraId="4052094B" w14:textId="77777777">
        <w:tblPrEx>
          <w:tblCellMar>
            <w:top w:w="0" w:type="dxa"/>
            <w:bottom w:w="0" w:type="dxa"/>
          </w:tblCellMar>
        </w:tblPrEx>
        <w:tc>
          <w:tcPr>
            <w:tcW w:w="1250" w:type="pct"/>
            <w:tcMar>
              <w:top w:w="100" w:type="dxa"/>
              <w:left w:w="120" w:type="dxa"/>
              <w:bottom w:w="100" w:type="dxa"/>
              <w:right w:w="120" w:type="dxa"/>
            </w:tcMar>
          </w:tcPr>
          <w:p w14:paraId="6CEFAB25" w14:textId="77777777" w:rsidR="009A47F9" w:rsidRDefault="00000000">
            <w:r>
              <w:rPr>
                <w:b/>
                <w:bCs/>
                <w:color w:val="222222"/>
              </w:rPr>
              <w:t>Patience</w:t>
            </w:r>
          </w:p>
        </w:tc>
        <w:tc>
          <w:tcPr>
            <w:tcW w:w="3750" w:type="pct"/>
            <w:tcMar>
              <w:top w:w="100" w:type="dxa"/>
              <w:left w:w="120" w:type="dxa"/>
              <w:bottom w:w="100" w:type="dxa"/>
              <w:right w:w="120" w:type="dxa"/>
            </w:tcMar>
          </w:tcPr>
          <w:p w14:paraId="4185AD31" w14:textId="77777777" w:rsidR="009A47F9" w:rsidRDefault="00000000">
            <w:r>
              <w:rPr>
                <w:color w:val="222222"/>
              </w:rPr>
              <w:t>Match the beneficiary’s pace. Never rush, sigh, or pressure them to “cover more” in a visit than they are comfortable with.</w:t>
            </w:r>
          </w:p>
        </w:tc>
      </w:tr>
      <w:tr w:rsidR="009A47F9" w14:paraId="69E5ED27" w14:textId="77777777">
        <w:tblPrEx>
          <w:tblCellMar>
            <w:top w:w="0" w:type="dxa"/>
            <w:bottom w:w="0" w:type="dxa"/>
          </w:tblCellMar>
        </w:tblPrEx>
        <w:tc>
          <w:tcPr>
            <w:tcW w:w="1250" w:type="pct"/>
            <w:tcMar>
              <w:top w:w="100" w:type="dxa"/>
              <w:left w:w="120" w:type="dxa"/>
              <w:bottom w:w="100" w:type="dxa"/>
              <w:right w:w="120" w:type="dxa"/>
            </w:tcMar>
          </w:tcPr>
          <w:p w14:paraId="263B4994" w14:textId="77777777" w:rsidR="009A47F9" w:rsidRDefault="00000000">
            <w:r>
              <w:rPr>
                <w:b/>
                <w:bCs/>
                <w:color w:val="222222"/>
              </w:rPr>
              <w:t>Financial Boundaries</w:t>
            </w:r>
          </w:p>
        </w:tc>
        <w:tc>
          <w:tcPr>
            <w:tcW w:w="3750" w:type="pct"/>
            <w:tcMar>
              <w:top w:w="100" w:type="dxa"/>
              <w:left w:w="120" w:type="dxa"/>
              <w:bottom w:w="100" w:type="dxa"/>
              <w:right w:w="120" w:type="dxa"/>
            </w:tcMar>
          </w:tcPr>
          <w:p w14:paraId="4B82899B" w14:textId="77777777" w:rsidR="009A47F9" w:rsidRDefault="00000000">
            <w:r>
              <w:rPr>
                <w:color w:val="222222"/>
              </w:rPr>
              <w:t>Never accept cash, gifts over ₹100 in value, or any form of payment, loan, or financial favour from a beneficiary or their family.</w:t>
            </w:r>
          </w:p>
        </w:tc>
      </w:tr>
      <w:tr w:rsidR="009A47F9" w14:paraId="2C39CF7C" w14:textId="77777777">
        <w:tblPrEx>
          <w:tblCellMar>
            <w:top w:w="0" w:type="dxa"/>
            <w:bottom w:w="0" w:type="dxa"/>
          </w:tblCellMar>
        </w:tblPrEx>
        <w:tc>
          <w:tcPr>
            <w:tcW w:w="1250" w:type="pct"/>
            <w:tcMar>
              <w:top w:w="100" w:type="dxa"/>
              <w:left w:w="120" w:type="dxa"/>
              <w:bottom w:w="100" w:type="dxa"/>
              <w:right w:w="120" w:type="dxa"/>
            </w:tcMar>
          </w:tcPr>
          <w:p w14:paraId="34C7D5F3" w14:textId="77777777" w:rsidR="009A47F9" w:rsidRDefault="00000000">
            <w:r>
              <w:rPr>
                <w:b/>
                <w:bCs/>
                <w:color w:val="222222"/>
              </w:rPr>
              <w:t>Confidentiality</w:t>
            </w:r>
          </w:p>
        </w:tc>
        <w:tc>
          <w:tcPr>
            <w:tcW w:w="3750" w:type="pct"/>
            <w:tcMar>
              <w:top w:w="100" w:type="dxa"/>
              <w:left w:w="120" w:type="dxa"/>
              <w:bottom w:w="100" w:type="dxa"/>
              <w:right w:w="120" w:type="dxa"/>
            </w:tcMar>
          </w:tcPr>
          <w:p w14:paraId="71678A84" w14:textId="77777777" w:rsidR="009A47F9" w:rsidRDefault="00000000">
            <w:r>
              <w:rPr>
                <w:color w:val="222222"/>
              </w:rPr>
              <w:t>All information about a beneficiary — health, family, financial, or personal — is strictly confidential. Never post about a beneficiary, a visit, or case details on personal social media, with or without identifying details.</w:t>
            </w:r>
          </w:p>
        </w:tc>
      </w:tr>
      <w:tr w:rsidR="009A47F9" w14:paraId="295CF017" w14:textId="77777777">
        <w:tblPrEx>
          <w:tblCellMar>
            <w:top w:w="0" w:type="dxa"/>
            <w:bottom w:w="0" w:type="dxa"/>
          </w:tblCellMar>
        </w:tblPrEx>
        <w:tc>
          <w:tcPr>
            <w:tcW w:w="1250" w:type="pct"/>
            <w:tcMar>
              <w:top w:w="100" w:type="dxa"/>
              <w:left w:w="120" w:type="dxa"/>
              <w:bottom w:w="100" w:type="dxa"/>
              <w:right w:w="120" w:type="dxa"/>
            </w:tcMar>
          </w:tcPr>
          <w:p w14:paraId="40D98051" w14:textId="77777777" w:rsidR="009A47F9" w:rsidRDefault="00000000">
            <w:r>
              <w:rPr>
                <w:b/>
                <w:bCs/>
                <w:color w:val="222222"/>
              </w:rPr>
              <w:t>Physical Boundaries</w:t>
            </w:r>
          </w:p>
        </w:tc>
        <w:tc>
          <w:tcPr>
            <w:tcW w:w="3750" w:type="pct"/>
            <w:tcMar>
              <w:top w:w="100" w:type="dxa"/>
              <w:left w:w="120" w:type="dxa"/>
              <w:bottom w:w="100" w:type="dxa"/>
              <w:right w:w="120" w:type="dxa"/>
            </w:tcMar>
          </w:tcPr>
          <w:p w14:paraId="731C8D12" w14:textId="77777777" w:rsidR="009A47F9" w:rsidRDefault="00000000">
            <w:r>
              <w:rPr>
                <w:color w:val="222222"/>
              </w:rPr>
              <w:t>No unsolicited touch beyond what is needed to safely assist mobility (e.g. an arm on stairs). No physical contact that could reasonably make a beneficiary uncomfortable.</w:t>
            </w:r>
          </w:p>
        </w:tc>
      </w:tr>
      <w:tr w:rsidR="009A47F9" w14:paraId="2054DBF7" w14:textId="77777777">
        <w:tblPrEx>
          <w:tblCellMar>
            <w:top w:w="0" w:type="dxa"/>
            <w:bottom w:w="0" w:type="dxa"/>
          </w:tblCellMar>
        </w:tblPrEx>
        <w:tc>
          <w:tcPr>
            <w:tcW w:w="1250" w:type="pct"/>
            <w:tcMar>
              <w:top w:w="100" w:type="dxa"/>
              <w:left w:w="120" w:type="dxa"/>
              <w:bottom w:w="100" w:type="dxa"/>
              <w:right w:w="120" w:type="dxa"/>
            </w:tcMar>
          </w:tcPr>
          <w:p w14:paraId="6D736244" w14:textId="77777777" w:rsidR="009A47F9" w:rsidRDefault="00000000">
            <w:r>
              <w:rPr>
                <w:b/>
                <w:bCs/>
                <w:color w:val="222222"/>
              </w:rPr>
              <w:t>Non-Discrimination</w:t>
            </w:r>
          </w:p>
        </w:tc>
        <w:tc>
          <w:tcPr>
            <w:tcW w:w="3750" w:type="pct"/>
            <w:tcMar>
              <w:top w:w="100" w:type="dxa"/>
              <w:left w:w="120" w:type="dxa"/>
              <w:bottom w:w="100" w:type="dxa"/>
              <w:right w:w="120" w:type="dxa"/>
            </w:tcMar>
          </w:tcPr>
          <w:p w14:paraId="7E8DC894" w14:textId="77777777" w:rsidR="009A47F9" w:rsidRDefault="00000000">
            <w:r>
              <w:rPr>
                <w:color w:val="222222"/>
              </w:rPr>
              <w:t>Provide the same quality of companionship regardless of a beneficiary's religion, caste, gender, or economic status. No religious or political preaching.</w:t>
            </w:r>
          </w:p>
        </w:tc>
      </w:tr>
      <w:tr w:rsidR="009A47F9" w14:paraId="3086A3B5" w14:textId="77777777">
        <w:tblPrEx>
          <w:tblCellMar>
            <w:top w:w="0" w:type="dxa"/>
            <w:bottom w:w="0" w:type="dxa"/>
          </w:tblCellMar>
        </w:tblPrEx>
        <w:tc>
          <w:tcPr>
            <w:tcW w:w="1250" w:type="pct"/>
            <w:tcMar>
              <w:top w:w="100" w:type="dxa"/>
              <w:left w:w="120" w:type="dxa"/>
              <w:bottom w:w="100" w:type="dxa"/>
              <w:right w:w="120" w:type="dxa"/>
            </w:tcMar>
          </w:tcPr>
          <w:p w14:paraId="7287527E" w14:textId="77777777" w:rsidR="009A47F9" w:rsidRDefault="00000000">
            <w:r>
              <w:rPr>
                <w:b/>
                <w:bCs/>
                <w:color w:val="222222"/>
              </w:rPr>
              <w:t>Punctuality &amp; Reliability</w:t>
            </w:r>
          </w:p>
        </w:tc>
        <w:tc>
          <w:tcPr>
            <w:tcW w:w="3750" w:type="pct"/>
            <w:tcMar>
              <w:top w:w="100" w:type="dxa"/>
              <w:left w:w="120" w:type="dxa"/>
              <w:bottom w:w="100" w:type="dxa"/>
              <w:right w:w="120" w:type="dxa"/>
            </w:tcMar>
          </w:tcPr>
          <w:p w14:paraId="4C749BB7" w14:textId="77777777" w:rsidR="009A47F9" w:rsidRDefault="00000000">
            <w:r>
              <w:rPr>
                <w:color w:val="222222"/>
              </w:rPr>
              <w:t>Arrive within the scheduled window. If running late, notify the beneficiary/family and MaiHoonNa as soon as you know.</w:t>
            </w:r>
          </w:p>
        </w:tc>
      </w:tr>
      <w:tr w:rsidR="009A47F9" w14:paraId="51485D22" w14:textId="77777777">
        <w:tblPrEx>
          <w:tblCellMar>
            <w:top w:w="0" w:type="dxa"/>
            <w:bottom w:w="0" w:type="dxa"/>
          </w:tblCellMar>
        </w:tblPrEx>
        <w:tc>
          <w:tcPr>
            <w:tcW w:w="1250" w:type="pct"/>
            <w:tcMar>
              <w:top w:w="100" w:type="dxa"/>
              <w:left w:w="120" w:type="dxa"/>
              <w:bottom w:w="100" w:type="dxa"/>
              <w:right w:w="120" w:type="dxa"/>
            </w:tcMar>
          </w:tcPr>
          <w:p w14:paraId="384323A2" w14:textId="77777777" w:rsidR="009A47F9" w:rsidRDefault="00000000">
            <w:r>
              <w:rPr>
                <w:b/>
                <w:bCs/>
                <w:color w:val="222222"/>
              </w:rPr>
              <w:t>Safety Reporting</w:t>
            </w:r>
          </w:p>
        </w:tc>
        <w:tc>
          <w:tcPr>
            <w:tcW w:w="3750" w:type="pct"/>
            <w:tcMar>
              <w:top w:w="100" w:type="dxa"/>
              <w:left w:w="120" w:type="dxa"/>
              <w:bottom w:w="100" w:type="dxa"/>
              <w:right w:w="120" w:type="dxa"/>
            </w:tcMar>
          </w:tcPr>
          <w:p w14:paraId="02BABF45" w14:textId="77777777" w:rsidR="009A47F9" w:rsidRDefault="00000000">
            <w:r>
              <w:rPr>
                <w:color w:val="222222"/>
              </w:rPr>
              <w:t>Report any safeguarding concern (signs of abuse, neglect, or exploitation) to your Field Manager the same day. Report any medical emergency to the Emergency Response Coordinator (ERC) immediately and stay with the beneficiary until help arrives, where safe to do so.</w:t>
            </w:r>
          </w:p>
        </w:tc>
      </w:tr>
      <w:tr w:rsidR="009A47F9" w14:paraId="00E6D336" w14:textId="77777777">
        <w:tblPrEx>
          <w:tblCellMar>
            <w:top w:w="0" w:type="dxa"/>
            <w:bottom w:w="0" w:type="dxa"/>
          </w:tblCellMar>
        </w:tblPrEx>
        <w:tc>
          <w:tcPr>
            <w:tcW w:w="1250" w:type="pct"/>
            <w:tcMar>
              <w:top w:w="100" w:type="dxa"/>
              <w:left w:w="120" w:type="dxa"/>
              <w:bottom w:w="100" w:type="dxa"/>
              <w:right w:w="120" w:type="dxa"/>
            </w:tcMar>
          </w:tcPr>
          <w:p w14:paraId="6029BB7E" w14:textId="77777777" w:rsidR="009A47F9" w:rsidRDefault="00000000">
            <w:r>
              <w:rPr>
                <w:b/>
                <w:bCs/>
                <w:color w:val="222222"/>
              </w:rPr>
              <w:lastRenderedPageBreak/>
              <w:t>No Medical Advice</w:t>
            </w:r>
          </w:p>
        </w:tc>
        <w:tc>
          <w:tcPr>
            <w:tcW w:w="3750" w:type="pct"/>
            <w:tcMar>
              <w:top w:w="100" w:type="dxa"/>
              <w:left w:w="120" w:type="dxa"/>
              <w:bottom w:w="100" w:type="dxa"/>
              <w:right w:w="120" w:type="dxa"/>
            </w:tcMar>
          </w:tcPr>
          <w:p w14:paraId="3C0AAEF5" w14:textId="77777777" w:rsidR="009A47F9" w:rsidRDefault="00000000">
            <w:r>
              <w:rPr>
                <w:color w:val="222222"/>
              </w:rPr>
              <w:t>Saathis are companions, not clinicians. Do not suggest medicines, comment on treatment, or provide medical opinions — note observations and inform the family or Field Manager instead.</w:t>
            </w:r>
          </w:p>
        </w:tc>
      </w:tr>
      <w:tr w:rsidR="009A47F9" w14:paraId="4A3F9AC7" w14:textId="77777777">
        <w:tblPrEx>
          <w:tblCellMar>
            <w:top w:w="0" w:type="dxa"/>
            <w:bottom w:w="0" w:type="dxa"/>
          </w:tblCellMar>
        </w:tblPrEx>
        <w:tc>
          <w:tcPr>
            <w:tcW w:w="1250" w:type="pct"/>
            <w:tcMar>
              <w:top w:w="100" w:type="dxa"/>
              <w:left w:w="120" w:type="dxa"/>
              <w:bottom w:w="100" w:type="dxa"/>
              <w:right w:w="120" w:type="dxa"/>
            </w:tcMar>
          </w:tcPr>
          <w:p w14:paraId="324168CE" w14:textId="77777777" w:rsidR="009A47F9" w:rsidRDefault="00000000">
            <w:r>
              <w:rPr>
                <w:b/>
                <w:bCs/>
                <w:color w:val="222222"/>
              </w:rPr>
              <w:t>Same-Gender Matching</w:t>
            </w:r>
          </w:p>
        </w:tc>
        <w:tc>
          <w:tcPr>
            <w:tcW w:w="3750" w:type="pct"/>
            <w:tcMar>
              <w:top w:w="100" w:type="dxa"/>
              <w:left w:w="120" w:type="dxa"/>
              <w:bottom w:w="100" w:type="dxa"/>
              <w:right w:w="120" w:type="dxa"/>
            </w:tcMar>
          </w:tcPr>
          <w:p w14:paraId="125E646E" w14:textId="77777777" w:rsidR="009A47F9" w:rsidRDefault="00000000">
            <w:r>
              <w:rPr>
                <w:color w:val="222222"/>
              </w:rPr>
              <w:t>All Saathi-beneficiary pairings are same-gender, without exception.</w:t>
            </w:r>
          </w:p>
        </w:tc>
      </w:tr>
      <w:tr w:rsidR="009A47F9" w14:paraId="40C47404" w14:textId="77777777">
        <w:tblPrEx>
          <w:tblCellMar>
            <w:top w:w="0" w:type="dxa"/>
            <w:bottom w:w="0" w:type="dxa"/>
          </w:tblCellMar>
        </w:tblPrEx>
        <w:tc>
          <w:tcPr>
            <w:tcW w:w="1250" w:type="pct"/>
            <w:tcMar>
              <w:top w:w="100" w:type="dxa"/>
              <w:left w:w="120" w:type="dxa"/>
              <w:bottom w:w="100" w:type="dxa"/>
              <w:right w:w="120" w:type="dxa"/>
            </w:tcMar>
          </w:tcPr>
          <w:p w14:paraId="05219914" w14:textId="77777777" w:rsidR="009A47F9" w:rsidRDefault="00000000">
            <w:r>
              <w:rPr>
                <w:b/>
                <w:bCs/>
                <w:color w:val="222222"/>
              </w:rPr>
              <w:t>Identification</w:t>
            </w:r>
          </w:p>
        </w:tc>
        <w:tc>
          <w:tcPr>
            <w:tcW w:w="3750" w:type="pct"/>
            <w:tcMar>
              <w:top w:w="100" w:type="dxa"/>
              <w:left w:w="120" w:type="dxa"/>
              <w:bottom w:w="100" w:type="dxa"/>
              <w:right w:w="120" w:type="dxa"/>
            </w:tcMar>
          </w:tcPr>
          <w:p w14:paraId="74FA48B6" w14:textId="77777777" w:rsidR="009A47F9" w:rsidRDefault="00000000">
            <w:r>
              <w:rPr>
                <w:color w:val="222222"/>
              </w:rPr>
              <w:t>Present a government-approved ID card (Aadhaar, driving licence, etc.) when requested.</w:t>
            </w:r>
          </w:p>
        </w:tc>
      </w:tr>
      <w:tr w:rsidR="009A47F9" w14:paraId="3EB7AC81" w14:textId="77777777">
        <w:tblPrEx>
          <w:tblCellMar>
            <w:top w:w="0" w:type="dxa"/>
            <w:bottom w:w="0" w:type="dxa"/>
          </w:tblCellMar>
        </w:tblPrEx>
        <w:tc>
          <w:tcPr>
            <w:tcW w:w="1250" w:type="pct"/>
            <w:tcMar>
              <w:top w:w="100" w:type="dxa"/>
              <w:left w:w="120" w:type="dxa"/>
              <w:bottom w:w="100" w:type="dxa"/>
              <w:right w:w="120" w:type="dxa"/>
            </w:tcMar>
          </w:tcPr>
          <w:p w14:paraId="4BA387B5" w14:textId="77777777" w:rsidR="009A47F9" w:rsidRDefault="00000000">
            <w:r>
              <w:rPr>
                <w:b/>
                <w:bCs/>
                <w:color w:val="222222"/>
              </w:rPr>
              <w:t>Honest Records</w:t>
            </w:r>
          </w:p>
        </w:tc>
        <w:tc>
          <w:tcPr>
            <w:tcW w:w="3750" w:type="pct"/>
            <w:tcMar>
              <w:top w:w="100" w:type="dxa"/>
              <w:left w:w="120" w:type="dxa"/>
              <w:bottom w:w="100" w:type="dxa"/>
              <w:right w:w="120" w:type="dxa"/>
            </w:tcMar>
          </w:tcPr>
          <w:p w14:paraId="5B9A04D1" w14:textId="77777777" w:rsidR="009A47F9" w:rsidRDefault="00000000">
            <w:r>
              <w:rPr>
                <w:color w:val="222222"/>
              </w:rPr>
              <w:t>Log check-in/check-out and any notes accurately. Falsifying a visit record or hours logged is treated as a serious violation (Section 9).</w:t>
            </w:r>
          </w:p>
        </w:tc>
      </w:tr>
    </w:tbl>
    <w:p w14:paraId="27619DE4" w14:textId="77777777" w:rsidR="009A47F9" w:rsidRDefault="009A47F9">
      <w:pPr>
        <w:spacing w:after="160"/>
      </w:pPr>
    </w:p>
    <w:p w14:paraId="66F3032D" w14:textId="77777777" w:rsidR="009A47F9" w:rsidRDefault="00000000">
      <w:pPr>
        <w:pStyle w:val="Heading1"/>
        <w:spacing w:before="320" w:after="140"/>
      </w:pPr>
      <w:r>
        <w:rPr>
          <w:b/>
          <w:bCs/>
          <w:color w:val="2F5233"/>
          <w:sz w:val="24"/>
          <w:szCs w:val="24"/>
        </w:rPr>
        <w:t>6. Safety Protocols</w:t>
      </w:r>
    </w:p>
    <w:p w14:paraId="13CDBCE7" w14:textId="77777777" w:rsidR="009A47F9" w:rsidRDefault="00000000">
      <w:pPr>
        <w:pStyle w:val="ListParagraph"/>
        <w:numPr>
          <w:ilvl w:val="0"/>
          <w:numId w:val="2"/>
        </w:numPr>
        <w:spacing w:after="80"/>
      </w:pPr>
      <w:r>
        <w:t>No overnight stays or multi-day arrangements are part of the Saathi Network scope at launch; any exception requires explicit prior written approval from MaiHoonNa Operations.</w:t>
      </w:r>
    </w:p>
    <w:p w14:paraId="56D49E71" w14:textId="77777777" w:rsidR="009A47F9" w:rsidRDefault="00000000">
      <w:pPr>
        <w:pStyle w:val="ListParagraph"/>
        <w:numPr>
          <w:ilvl w:val="0"/>
          <w:numId w:val="2"/>
        </w:numPr>
        <w:spacing w:after="80"/>
      </w:pPr>
      <w:r>
        <w:t>Saathis must check in and check out via the app for every visit; manual entry requires a stated reason.</w:t>
      </w:r>
    </w:p>
    <w:p w14:paraId="35CF3B8E" w14:textId="77777777" w:rsidR="009A47F9" w:rsidRDefault="00000000">
      <w:pPr>
        <w:pStyle w:val="ListParagraph"/>
        <w:numPr>
          <w:ilvl w:val="0"/>
          <w:numId w:val="2"/>
        </w:numPr>
        <w:spacing w:after="80"/>
      </w:pPr>
      <w:r>
        <w:t>If a beneficiary's home or the immediate environment feels unsafe, the Saathi should exit politely and contact their Saathi Coordinator immediately — MaiHoonNa will support the Saathi's decision to do so.</w:t>
      </w:r>
    </w:p>
    <w:p w14:paraId="6A2C7CA4" w14:textId="77777777" w:rsidR="009A47F9" w:rsidRDefault="00000000">
      <w:pPr>
        <w:pStyle w:val="ListParagraph"/>
        <w:numPr>
          <w:ilvl w:val="0"/>
          <w:numId w:val="2"/>
        </w:numPr>
        <w:spacing w:after="80"/>
      </w:pPr>
      <w:r>
        <w:t>Saathis are not authorised to drive beneficiaries in a personal vehicle.</w:t>
      </w:r>
    </w:p>
    <w:p w14:paraId="47B69969" w14:textId="77777777" w:rsidR="009A47F9" w:rsidRDefault="00000000">
      <w:pPr>
        <w:pStyle w:val="Heading1"/>
        <w:spacing w:before="320" w:after="140"/>
      </w:pPr>
      <w:r>
        <w:rPr>
          <w:b/>
          <w:bCs/>
          <w:color w:val="2F5233"/>
          <w:sz w:val="24"/>
          <w:szCs w:val="24"/>
        </w:rPr>
        <w:t>7. Training &amp; Orientation</w:t>
      </w:r>
    </w:p>
    <w:p w14:paraId="43283852" w14:textId="77777777" w:rsidR="009A47F9" w:rsidRDefault="00000000">
      <w:pPr>
        <w:spacing w:after="130"/>
      </w:pPr>
      <w:r>
        <w:t>Before a first beneficiary assignment, every Saathi must complete: the Saathi orientation (code of conduct, empathy basics, safeguarding, app usage), the Empathy &amp; Situational Judgment screening, and receive Saathi Coordinator approval following BGV clearance.</w:t>
      </w:r>
    </w:p>
    <w:p w14:paraId="79058032" w14:textId="77777777" w:rsidR="009A47F9" w:rsidRDefault="00000000">
      <w:pPr>
        <w:pStyle w:val="Heading1"/>
        <w:spacing w:before="320" w:after="140"/>
      </w:pPr>
      <w:r>
        <w:rPr>
          <w:b/>
          <w:bCs/>
          <w:color w:val="2F5233"/>
          <w:sz w:val="24"/>
          <w:szCs w:val="24"/>
        </w:rPr>
        <w:t>8. Grievance &amp; Protection — Both Directions</w:t>
      </w:r>
    </w:p>
    <w:p w14:paraId="6313F945" w14:textId="77777777" w:rsidR="009A47F9" w:rsidRDefault="00000000">
      <w:pPr>
        <w:spacing w:after="130"/>
      </w:pPr>
      <w:r>
        <w:t>MaiHoonNa has zero tolerance for misconduct, from either side of a Saathi-beneficiary interaction.</w:t>
      </w:r>
    </w:p>
    <w:p w14:paraId="104EB6B1" w14:textId="77777777" w:rsidR="009A47F9" w:rsidRDefault="00000000">
      <w:pPr>
        <w:spacing w:after="130"/>
      </w:pPr>
      <w:r>
        <w:rPr>
          <w:b/>
          <w:bCs/>
          <w:color w:val="222222"/>
        </w:rPr>
        <w:t xml:space="preserve">8.1  </w:t>
      </w:r>
      <w:r>
        <w:t>If a Saathi experiences misconduct from a beneficiary or family member</w:t>
      </w:r>
    </w:p>
    <w:p w14:paraId="36C369FC" w14:textId="77777777" w:rsidR="009A47F9" w:rsidRDefault="00000000">
      <w:pPr>
        <w:pStyle w:val="ListParagraph"/>
        <w:numPr>
          <w:ilvl w:val="0"/>
          <w:numId w:val="2"/>
        </w:numPr>
        <w:spacing w:after="80"/>
      </w:pPr>
      <w:r>
        <w:t>The Saathi may end the visit immediately without penalty and is never obligated to continue.</w:t>
      </w:r>
    </w:p>
    <w:p w14:paraId="01C5BF8B" w14:textId="77777777" w:rsidR="009A47F9" w:rsidRDefault="00000000">
      <w:pPr>
        <w:pStyle w:val="ListParagraph"/>
        <w:numPr>
          <w:ilvl w:val="0"/>
          <w:numId w:val="2"/>
        </w:numPr>
        <w:spacing w:after="80"/>
      </w:pPr>
      <w:r>
        <w:t>Report the incident to your Saathi Coordinator the same day; MaiHoonNa will investigate within 48 hours.</w:t>
      </w:r>
    </w:p>
    <w:p w14:paraId="1A51E68E" w14:textId="77777777" w:rsidR="009A47F9" w:rsidRDefault="00000000">
      <w:pPr>
        <w:pStyle w:val="ListParagraph"/>
        <w:numPr>
          <w:ilvl w:val="0"/>
          <w:numId w:val="2"/>
        </w:numPr>
        <w:spacing w:after="80"/>
      </w:pPr>
      <w:r>
        <w:t>Verified misconduct by a beneficiary or family member results in that arrangement being terminated on MaiHoonNa's side; the Saathi will not be sent back to an unsafe situation.</w:t>
      </w:r>
    </w:p>
    <w:p w14:paraId="53068BC3" w14:textId="77777777" w:rsidR="009A47F9" w:rsidRDefault="00000000">
      <w:pPr>
        <w:spacing w:after="130"/>
      </w:pPr>
      <w:r>
        <w:rPr>
          <w:b/>
          <w:bCs/>
          <w:color w:val="222222"/>
        </w:rPr>
        <w:t xml:space="preserve">8.2  </w:t>
      </w:r>
      <w:r>
        <w:t>If a beneficiary or family experiences a concern about a Saathi</w:t>
      </w:r>
    </w:p>
    <w:p w14:paraId="3D2C8ED5" w14:textId="77777777" w:rsidR="009A47F9" w:rsidRDefault="00000000">
      <w:pPr>
        <w:pStyle w:val="ListParagraph"/>
        <w:numPr>
          <w:ilvl w:val="0"/>
          <w:numId w:val="2"/>
        </w:numPr>
        <w:spacing w:after="80"/>
      </w:pPr>
      <w:r>
        <w:t>Report to MaiHoonNa Operations immediately; the matter is investigated within 48 hours.</w:t>
      </w:r>
    </w:p>
    <w:p w14:paraId="717056CB" w14:textId="77777777" w:rsidR="009A47F9" w:rsidRDefault="00000000">
      <w:pPr>
        <w:pStyle w:val="ListParagraph"/>
        <w:numPr>
          <w:ilvl w:val="0"/>
          <w:numId w:val="2"/>
        </w:numPr>
        <w:spacing w:after="80"/>
      </w:pPr>
      <w:r>
        <w:t>Verified misconduct leads to immediate suspension pending investigation, and termination plus a police complaint where warranted (Section 9).</w:t>
      </w:r>
    </w:p>
    <w:p w14:paraId="7DBEACA4" w14:textId="77777777" w:rsidR="009A47F9" w:rsidRDefault="00000000">
      <w:pPr>
        <w:pStyle w:val="Heading1"/>
        <w:spacing w:before="320" w:after="140"/>
      </w:pPr>
      <w:r>
        <w:rPr>
          <w:b/>
          <w:bCs/>
          <w:color w:val="2F5233"/>
          <w:sz w:val="24"/>
          <w:szCs w:val="24"/>
        </w:rPr>
        <w:t>9. Suspension &amp; Termination</w:t>
      </w:r>
    </w:p>
    <w:p w14:paraId="16F21C5F" w14:textId="77777777" w:rsidR="009A47F9" w:rsidRDefault="00000000">
      <w:pPr>
        <w:spacing w:after="130"/>
      </w:pPr>
      <w:r>
        <w:rPr>
          <w:b/>
          <w:bCs/>
          <w:color w:val="222222"/>
        </w:rPr>
        <w:t xml:space="preserve">9.1  </w:t>
      </w:r>
      <w:r>
        <w:t>Voluntary Exit: A Saathi may pause or leave the programme at any time by notifying their Saathi Coordinator. There is no minimum commitment period and no penalty for stepping back.</w:t>
      </w:r>
    </w:p>
    <w:p w14:paraId="613727AD" w14:textId="77777777" w:rsidR="009A47F9" w:rsidRDefault="00000000">
      <w:pPr>
        <w:spacing w:after="130"/>
      </w:pPr>
      <w:r>
        <w:rPr>
          <w:b/>
          <w:bCs/>
          <w:color w:val="222222"/>
        </w:rPr>
        <w:t xml:space="preserve">9.2  </w:t>
      </w:r>
      <w:r>
        <w:t>Termination for Cause: MaiHoonNa may suspend or terminate a Saathi's participation immediately for:</w:t>
      </w:r>
    </w:p>
    <w:p w14:paraId="1BF9F669" w14:textId="77777777" w:rsidR="009A47F9" w:rsidRDefault="00000000">
      <w:pPr>
        <w:pStyle w:val="ListParagraph"/>
        <w:numPr>
          <w:ilvl w:val="0"/>
          <w:numId w:val="2"/>
        </w:numPr>
        <w:spacing w:after="80"/>
      </w:pPr>
      <w:r>
        <w:t>Falsifying visit records, check-in/check-out data, or hours logged.</w:t>
      </w:r>
    </w:p>
    <w:p w14:paraId="5F6ED676" w14:textId="77777777" w:rsidR="009A47F9" w:rsidRDefault="00000000">
      <w:pPr>
        <w:pStyle w:val="ListParagraph"/>
        <w:numPr>
          <w:ilvl w:val="0"/>
          <w:numId w:val="2"/>
        </w:numPr>
        <w:spacing w:after="80"/>
      </w:pPr>
      <w:r>
        <w:t>Any financial boundary violation (Section 5).</w:t>
      </w:r>
    </w:p>
    <w:p w14:paraId="3A264F2C" w14:textId="77777777" w:rsidR="009A47F9" w:rsidRDefault="00000000">
      <w:pPr>
        <w:pStyle w:val="ListParagraph"/>
        <w:numPr>
          <w:ilvl w:val="0"/>
          <w:numId w:val="2"/>
        </w:numPr>
        <w:spacing w:after="80"/>
      </w:pPr>
      <w:r>
        <w:t>Verified misconduct, harassment, or abuse toward a beneficiary or family member.</w:t>
      </w:r>
    </w:p>
    <w:p w14:paraId="6AB830CF" w14:textId="77777777" w:rsidR="009A47F9" w:rsidRDefault="00000000">
      <w:pPr>
        <w:pStyle w:val="ListParagraph"/>
        <w:numPr>
          <w:ilvl w:val="0"/>
          <w:numId w:val="2"/>
        </w:numPr>
        <w:spacing w:after="80"/>
      </w:pPr>
      <w:r>
        <w:lastRenderedPageBreak/>
        <w:t>Failure to report a known safeguarding concern.</w:t>
      </w:r>
    </w:p>
    <w:p w14:paraId="37356FA2" w14:textId="77777777" w:rsidR="009A47F9" w:rsidRDefault="00000000">
      <w:pPr>
        <w:pStyle w:val="ListParagraph"/>
        <w:numPr>
          <w:ilvl w:val="0"/>
          <w:numId w:val="2"/>
        </w:numPr>
        <w:spacing w:after="80"/>
      </w:pPr>
      <w:r>
        <w:t>Breach of confidentiality, including unauthorised social media posts about a beneficiary.</w:t>
      </w:r>
    </w:p>
    <w:p w14:paraId="18086C0D" w14:textId="77777777" w:rsidR="009A47F9" w:rsidRDefault="00000000">
      <w:pPr>
        <w:pStyle w:val="ListParagraph"/>
        <w:numPr>
          <w:ilvl w:val="0"/>
          <w:numId w:val="2"/>
        </w:numPr>
        <w:spacing w:after="80"/>
      </w:pPr>
      <w:r>
        <w:t>Providing false information during enrolment or BGV.</w:t>
      </w:r>
    </w:p>
    <w:p w14:paraId="1625EC2B" w14:textId="77777777" w:rsidR="009A47F9" w:rsidRDefault="00000000">
      <w:pPr>
        <w:pStyle w:val="Heading1"/>
        <w:spacing w:before="320" w:after="140"/>
      </w:pPr>
      <w:r>
        <w:rPr>
          <w:b/>
          <w:bCs/>
          <w:color w:val="2F5233"/>
          <w:sz w:val="24"/>
          <w:szCs w:val="24"/>
        </w:rPr>
        <w:t>10. Liability &amp; Insurance</w:t>
      </w:r>
    </w:p>
    <w:p w14:paraId="7F5694C6" w14:textId="77777777" w:rsidR="009A47F9" w:rsidRDefault="00000000">
      <w:pPr>
        <w:spacing w:after="130"/>
      </w:pPr>
      <w:r>
        <w:rPr>
          <w:b/>
          <w:bCs/>
          <w:color w:val="222222"/>
        </w:rPr>
        <w:t xml:space="preserve">10.1  </w:t>
      </w:r>
      <w:r>
        <w:t>No Insurance Coverage Provided: MaiHoonNa Eldercare Private Limited does not provide, maintain, or sponsor any personal, accident, medical, health, life, disability, or third-party liability insurance coverage for Saathi volunteers. Each Saathi is solely responsible for arranging and maintaining their own personal health, accident, and life insurance policies as they deem necessary.</w:t>
      </w:r>
    </w:p>
    <w:p w14:paraId="379663C5" w14:textId="77777777" w:rsidR="009A47F9" w:rsidRDefault="00000000">
      <w:pPr>
        <w:spacing w:after="130"/>
      </w:pPr>
      <w:r>
        <w:rPr>
          <w:b/>
          <w:bCs/>
          <w:color w:val="222222"/>
        </w:rPr>
        <w:t xml:space="preserve">10.2  </w:t>
      </w:r>
      <w:r>
        <w:t>Limitation of Liability and Release: To the maximum extent permitted under applicable law, MaiHoonNa, its directors, employees, officers, and agents shall not be liable for any direct, indirect, incidental, personal injury, illness, loss of life, property damage, or theft suffered by a Saathi during or arising out of their voluntary activities under this programme.</w:t>
      </w:r>
    </w:p>
    <w:p w14:paraId="1F7E4F84" w14:textId="77777777" w:rsidR="009A47F9" w:rsidRDefault="00000000">
      <w:pPr>
        <w:spacing w:after="130"/>
      </w:pPr>
      <w:r>
        <w:rPr>
          <w:b/>
          <w:bCs/>
          <w:color w:val="222222"/>
        </w:rPr>
        <w:t xml:space="preserve">10.3  </w:t>
      </w:r>
      <w:r>
        <w:t>Indemnity: The Saathi agrees to indemnify and hold harmless MaiHoonNa from and against any third-party claims, damages, liabilities, or legal costs arising out of the Saathi's wilful misconduct, gross negligence, financial boundary violations, or breach of the Code of Conduct (Section 5).</w:t>
      </w:r>
    </w:p>
    <w:p w14:paraId="4BBD315A" w14:textId="77777777" w:rsidR="009A47F9" w:rsidRDefault="00000000">
      <w:pPr>
        <w:pStyle w:val="Heading1"/>
        <w:spacing w:before="320" w:after="140"/>
      </w:pPr>
      <w:r>
        <w:rPr>
          <w:b/>
          <w:bCs/>
          <w:color w:val="2F5233"/>
          <w:sz w:val="24"/>
          <w:szCs w:val="24"/>
        </w:rPr>
        <w:t>11. Data Protection &amp; Privacy</w:t>
      </w:r>
    </w:p>
    <w:p w14:paraId="341B1E97" w14:textId="77777777" w:rsidR="009A47F9" w:rsidRDefault="00000000">
      <w:pPr>
        <w:spacing w:after="130"/>
      </w:pPr>
      <w:r>
        <w:t>Saathis will have access to limited beneficiary information necessary to provide companionship (name, contact details, general preferences). This information is confidential and governed by MaiHoonNa's Beneficiary Data Protection &amp; Privacy Policy. Saathis consent to MaiHoonNa collecting and storing their own enrolment, BGV, and screening data for programme administration purposes.</w:t>
      </w:r>
    </w:p>
    <w:p w14:paraId="0F7158FB" w14:textId="77777777" w:rsidR="009A47F9" w:rsidRDefault="00000000">
      <w:pPr>
        <w:pStyle w:val="Heading1"/>
        <w:spacing w:before="320" w:after="140"/>
      </w:pPr>
      <w:r>
        <w:rPr>
          <w:b/>
          <w:bCs/>
          <w:color w:val="2F5233"/>
          <w:sz w:val="24"/>
          <w:szCs w:val="24"/>
        </w:rPr>
        <w:t>12. Amendments</w:t>
      </w:r>
    </w:p>
    <w:p w14:paraId="0A6F4BA9" w14:textId="77777777" w:rsidR="009A47F9" w:rsidRDefault="00000000">
      <w:pPr>
        <w:spacing w:after="130"/>
      </w:pPr>
      <w:r>
        <w:t>MaiHoonNa may update these Terms from time to time. Active Saathis will be notified of material changes via the app or WhatsApp and given a reasonable period to review before the changes take effect.</w:t>
      </w:r>
    </w:p>
    <w:p w14:paraId="6AB647E4" w14:textId="77777777" w:rsidR="009A47F9" w:rsidRDefault="00000000">
      <w:pPr>
        <w:pStyle w:val="Heading1"/>
        <w:spacing w:before="320" w:after="140"/>
      </w:pPr>
      <w:r>
        <w:rPr>
          <w:b/>
          <w:bCs/>
          <w:color w:val="2F5233"/>
          <w:sz w:val="24"/>
          <w:szCs w:val="24"/>
        </w:rPr>
        <w:t>13. Governing Law &amp; Dispute Resolution</w:t>
      </w:r>
    </w:p>
    <w:p w14:paraId="6DF0EA30" w14:textId="77777777" w:rsidR="009A47F9" w:rsidRDefault="00000000">
      <w:pPr>
        <w:spacing w:after="130"/>
      </w:pPr>
      <w:r>
        <w:rPr>
          <w:b/>
          <w:bCs/>
          <w:color w:val="222222"/>
        </w:rPr>
        <w:t xml:space="preserve">13.1  </w:t>
      </w:r>
      <w:r>
        <w:t>Internal Grievance Escalation: Any dispute, grievance, or misunderstanding arising out of participation in the Saathi Network shall first be referred to the MaiHoonNa Operations and People Team for informal resolution within 15 days.</w:t>
      </w:r>
    </w:p>
    <w:p w14:paraId="4E553703" w14:textId="77777777" w:rsidR="009A47F9" w:rsidRDefault="00000000">
      <w:pPr>
        <w:spacing w:after="130"/>
      </w:pPr>
      <w:r>
        <w:rPr>
          <w:b/>
          <w:bCs/>
          <w:color w:val="222222"/>
        </w:rPr>
        <w:t xml:space="preserve">13.2  </w:t>
      </w:r>
      <w:r>
        <w:t>Governing Law: These Terms shall be governed by and construed in accordance with the laws of India.</w:t>
      </w:r>
    </w:p>
    <w:p w14:paraId="362C466E" w14:textId="77777777" w:rsidR="009A47F9" w:rsidRDefault="00000000">
      <w:pPr>
        <w:spacing w:after="130"/>
      </w:pPr>
      <w:r>
        <w:rPr>
          <w:b/>
          <w:bCs/>
          <w:color w:val="222222"/>
        </w:rPr>
        <w:t xml:space="preserve">13.3  </w:t>
      </w:r>
      <w:r>
        <w:t>Exclusive Jurisdiction: The competent civil courts at Gurugram, Haryana, shall have exclusive jurisdiction to settle any legal dispute arising in connection with these Terms.</w:t>
      </w:r>
    </w:p>
    <w:p w14:paraId="5B96C9B8" w14:textId="77777777" w:rsidR="009A47F9" w:rsidRDefault="00000000">
      <w:pPr>
        <w:pStyle w:val="Heading1"/>
        <w:spacing w:before="320" w:after="140"/>
      </w:pPr>
      <w:r>
        <w:rPr>
          <w:b/>
          <w:bCs/>
          <w:color w:val="2F5233"/>
          <w:sz w:val="24"/>
          <w:szCs w:val="24"/>
        </w:rPr>
        <w:t>14. Acceptance</w:t>
      </w:r>
    </w:p>
    <w:p w14:paraId="42C576EE" w14:textId="77777777" w:rsidR="009A47F9" w:rsidRDefault="00000000">
      <w:pPr>
        <w:spacing w:after="130"/>
      </w:pPr>
      <w:r>
        <w:t>By completing the Saathi Network enrolment flow in the MaiHoonNa app — including the eligibility declaration and consent steps — you confirm that you meet the eligibility criteria in Section 1, have read and understood these Terms and the Code of Conduct in Section 5, and agree to uphold them as a MaiHoonNa Saathi. You understand that participation is voluntary and may be paused or ended by either party as described in Section 9.</w:t>
      </w:r>
    </w:p>
    <w:p w14:paraId="2C704F32" w14:textId="77777777" w:rsidR="009A47F9" w:rsidRDefault="009A47F9">
      <w:pPr>
        <w:spacing w:after="120"/>
      </w:pPr>
    </w:p>
    <w:p w14:paraId="6B9AF69F" w14:textId="77777777" w:rsidR="009A47F9" w:rsidRDefault="00000000">
      <w:pPr>
        <w:spacing w:before="200"/>
        <w:jc w:val="center"/>
      </w:pPr>
      <w:r>
        <w:rPr>
          <w:i/>
          <w:iCs/>
          <w:color w:val="666666"/>
          <w:sz w:val="18"/>
          <w:szCs w:val="18"/>
        </w:rPr>
        <w:t>MaiHoonNa Eldercare Private Limited  |  care@maihoonna.com  |  www.maihoonna.com  |  Gurugram, Haryana</w:t>
      </w:r>
    </w:p>
    <w:sectPr w:rsidR="009A47F9">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71776"/>
    <w:multiLevelType w:val="hybridMultilevel"/>
    <w:tmpl w:val="598A6602"/>
    <w:lvl w:ilvl="0" w:tplc="BF3E1E48">
      <w:start w:val="1"/>
      <w:numFmt w:val="bullet"/>
      <w:lvlText w:val="•"/>
      <w:lvlJc w:val="left"/>
      <w:pPr>
        <w:ind w:left="720" w:hanging="360"/>
      </w:pPr>
    </w:lvl>
    <w:lvl w:ilvl="1" w:tplc="F2287A7C">
      <w:numFmt w:val="decimal"/>
      <w:lvlText w:val=""/>
      <w:lvlJc w:val="left"/>
    </w:lvl>
    <w:lvl w:ilvl="2" w:tplc="4B9E4260">
      <w:numFmt w:val="decimal"/>
      <w:lvlText w:val=""/>
      <w:lvlJc w:val="left"/>
    </w:lvl>
    <w:lvl w:ilvl="3" w:tplc="ED28CC14">
      <w:numFmt w:val="decimal"/>
      <w:lvlText w:val=""/>
      <w:lvlJc w:val="left"/>
    </w:lvl>
    <w:lvl w:ilvl="4" w:tplc="92EA8CE0">
      <w:numFmt w:val="decimal"/>
      <w:lvlText w:val=""/>
      <w:lvlJc w:val="left"/>
    </w:lvl>
    <w:lvl w:ilvl="5" w:tplc="FD0C53B2">
      <w:numFmt w:val="decimal"/>
      <w:lvlText w:val=""/>
      <w:lvlJc w:val="left"/>
    </w:lvl>
    <w:lvl w:ilvl="6" w:tplc="2EB8C60E">
      <w:numFmt w:val="decimal"/>
      <w:lvlText w:val=""/>
      <w:lvlJc w:val="left"/>
    </w:lvl>
    <w:lvl w:ilvl="7" w:tplc="B48018BA">
      <w:numFmt w:val="decimal"/>
      <w:lvlText w:val=""/>
      <w:lvlJc w:val="left"/>
    </w:lvl>
    <w:lvl w:ilvl="8" w:tplc="004CC336">
      <w:numFmt w:val="decimal"/>
      <w:lvlText w:val=""/>
      <w:lvlJc w:val="left"/>
    </w:lvl>
  </w:abstractNum>
  <w:abstractNum w:abstractNumId="1" w15:restartNumberingAfterBreak="0">
    <w:nsid w:val="3753328F"/>
    <w:multiLevelType w:val="hybridMultilevel"/>
    <w:tmpl w:val="878A2384"/>
    <w:lvl w:ilvl="0" w:tplc="F752887C">
      <w:start w:val="1"/>
      <w:numFmt w:val="bullet"/>
      <w:lvlText w:val="●"/>
      <w:lvlJc w:val="left"/>
      <w:pPr>
        <w:ind w:left="720" w:hanging="360"/>
      </w:pPr>
    </w:lvl>
    <w:lvl w:ilvl="1" w:tplc="745C4E88">
      <w:start w:val="1"/>
      <w:numFmt w:val="bullet"/>
      <w:lvlText w:val="○"/>
      <w:lvlJc w:val="left"/>
      <w:pPr>
        <w:ind w:left="1440" w:hanging="360"/>
      </w:pPr>
    </w:lvl>
    <w:lvl w:ilvl="2" w:tplc="4E5A5210">
      <w:start w:val="1"/>
      <w:numFmt w:val="bullet"/>
      <w:lvlText w:val="■"/>
      <w:lvlJc w:val="left"/>
      <w:pPr>
        <w:ind w:left="2160" w:hanging="360"/>
      </w:pPr>
    </w:lvl>
    <w:lvl w:ilvl="3" w:tplc="A1801C2A">
      <w:start w:val="1"/>
      <w:numFmt w:val="bullet"/>
      <w:lvlText w:val="●"/>
      <w:lvlJc w:val="left"/>
      <w:pPr>
        <w:ind w:left="2880" w:hanging="360"/>
      </w:pPr>
    </w:lvl>
    <w:lvl w:ilvl="4" w:tplc="B7442AFE">
      <w:start w:val="1"/>
      <w:numFmt w:val="bullet"/>
      <w:lvlText w:val="○"/>
      <w:lvlJc w:val="left"/>
      <w:pPr>
        <w:ind w:left="3600" w:hanging="360"/>
      </w:pPr>
    </w:lvl>
    <w:lvl w:ilvl="5" w:tplc="E0EC836C">
      <w:start w:val="1"/>
      <w:numFmt w:val="bullet"/>
      <w:lvlText w:val="■"/>
      <w:lvlJc w:val="left"/>
      <w:pPr>
        <w:ind w:left="4320" w:hanging="360"/>
      </w:pPr>
    </w:lvl>
    <w:lvl w:ilvl="6" w:tplc="6BB6B498">
      <w:start w:val="1"/>
      <w:numFmt w:val="bullet"/>
      <w:lvlText w:val="●"/>
      <w:lvlJc w:val="left"/>
      <w:pPr>
        <w:ind w:left="5040" w:hanging="360"/>
      </w:pPr>
    </w:lvl>
    <w:lvl w:ilvl="7" w:tplc="9FB0C826">
      <w:start w:val="1"/>
      <w:numFmt w:val="bullet"/>
      <w:lvlText w:val="●"/>
      <w:lvlJc w:val="left"/>
      <w:pPr>
        <w:ind w:left="5760" w:hanging="360"/>
      </w:pPr>
    </w:lvl>
    <w:lvl w:ilvl="8" w:tplc="EF3C8C38">
      <w:start w:val="1"/>
      <w:numFmt w:val="bullet"/>
      <w:lvlText w:val="●"/>
      <w:lvlJc w:val="left"/>
      <w:pPr>
        <w:ind w:left="6480" w:hanging="360"/>
      </w:pPr>
    </w:lvl>
  </w:abstractNum>
  <w:num w:numId="1" w16cid:durableId="225649827">
    <w:abstractNumId w:val="1"/>
    <w:lvlOverride w:ilvl="0">
      <w:startOverride w:val="1"/>
    </w:lvlOverride>
  </w:num>
  <w:num w:numId="2" w16cid:durableId="711687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7F9"/>
    <w:rsid w:val="001D624E"/>
    <w:rsid w:val="00283197"/>
    <w:rsid w:val="009A4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7011"/>
  <w15:docId w15:val="{AD79BA15-A1BD-42B0-8A40-7AE71889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1739</Words>
  <Characters>9916</Characters>
  <Application>Microsoft Office Word</Application>
  <DocSecurity>0</DocSecurity>
  <Lines>82</Lines>
  <Paragraphs>23</Paragraphs>
  <ScaleCrop>false</ScaleCrop>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(Mainhona)</cp:lastModifiedBy>
  <cp:revision>2</cp:revision>
  <dcterms:created xsi:type="dcterms:W3CDTF">2026-09-14T06:36:00Z</dcterms:created>
  <dcterms:modified xsi:type="dcterms:W3CDTF">2026-09-14T06:37:00Z</dcterms:modified>
</cp:coreProperties>
</file>